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120ED" w:rsidRDefault="003B355A" w:rsidP="004120ED">
      <w:pPr>
        <w:widowControl/>
        <w:jc w:val="right"/>
        <w:rPr>
          <w:b/>
          <w:bCs/>
          <w:sz w:val="28"/>
          <w:szCs w:val="28"/>
        </w:rPr>
      </w:pPr>
      <w:bookmarkStart w:id="0" w:name="_GoBack"/>
      <w:bookmarkEnd w:id="0"/>
      <w:r>
        <w:rPr>
          <w:b/>
          <w:bCs/>
          <w:sz w:val="28"/>
          <w:szCs w:val="28"/>
        </w:rPr>
        <w:t xml:space="preserve"> </w:t>
      </w:r>
      <w:r w:rsidR="004120ED" w:rsidRPr="004120ED">
        <w:rPr>
          <w:b/>
          <w:bCs/>
          <w:sz w:val="28"/>
          <w:szCs w:val="28"/>
        </w:rPr>
        <w:t>Case no. BS614159 &amp;</w:t>
      </w:r>
      <w:r w:rsidR="004120ED">
        <w:rPr>
          <w:b/>
          <w:bCs/>
          <w:sz w:val="28"/>
          <w:szCs w:val="28"/>
        </w:rPr>
        <w:t xml:space="preserve"> O</w:t>
      </w:r>
      <w:r w:rsidR="004120ED" w:rsidRPr="004120ED">
        <w:rPr>
          <w:b/>
          <w:bCs/>
          <w:sz w:val="28"/>
          <w:szCs w:val="28"/>
        </w:rPr>
        <w:t>thers</w:t>
      </w:r>
    </w:p>
    <w:p w:rsidR="004120ED" w:rsidRDefault="004120ED" w:rsidP="004120ED">
      <w:pPr>
        <w:widowControl/>
        <w:jc w:val="right"/>
        <w:rPr>
          <w:b/>
          <w:bCs/>
          <w:sz w:val="28"/>
          <w:szCs w:val="28"/>
        </w:rPr>
      </w:pPr>
    </w:p>
    <w:p w:rsidR="004120ED" w:rsidRPr="004120ED" w:rsidRDefault="004120ED" w:rsidP="004120ED">
      <w:pPr>
        <w:widowControl/>
        <w:jc w:val="right"/>
        <w:rPr>
          <w:b/>
          <w:bCs/>
          <w:sz w:val="28"/>
          <w:szCs w:val="28"/>
        </w:rPr>
      </w:pPr>
    </w:p>
    <w:p w:rsidR="004120ED" w:rsidRDefault="004120ED">
      <w:pPr>
        <w:widowControl/>
        <w:rPr>
          <w:b/>
          <w:bCs/>
          <w:u w:val="single"/>
        </w:rPr>
      </w:pPr>
    </w:p>
    <w:p w:rsidR="004120ED" w:rsidRDefault="004120ED" w:rsidP="004120ED">
      <w:pPr>
        <w:widowControl/>
        <w:jc w:val="center"/>
        <w:rPr>
          <w:b/>
          <w:bCs/>
          <w:sz w:val="28"/>
          <w:szCs w:val="28"/>
        </w:rPr>
      </w:pPr>
      <w:r w:rsidRPr="004120ED">
        <w:rPr>
          <w:b/>
          <w:bCs/>
          <w:sz w:val="28"/>
          <w:szCs w:val="28"/>
        </w:rPr>
        <w:t>Maurice Kirk v Chief Constable of South Wales Constabulary</w:t>
      </w:r>
    </w:p>
    <w:p w:rsidR="004120ED" w:rsidRPr="004120ED" w:rsidRDefault="004120ED" w:rsidP="004120ED">
      <w:pPr>
        <w:widowControl/>
        <w:jc w:val="center"/>
        <w:rPr>
          <w:b/>
          <w:bCs/>
          <w:sz w:val="28"/>
          <w:szCs w:val="28"/>
        </w:rPr>
      </w:pPr>
    </w:p>
    <w:p w:rsidR="004120ED" w:rsidRPr="004120ED" w:rsidRDefault="004120ED" w:rsidP="004120ED">
      <w:pPr>
        <w:widowControl/>
        <w:jc w:val="center"/>
        <w:rPr>
          <w:b/>
          <w:bCs/>
        </w:rPr>
      </w:pPr>
    </w:p>
    <w:p w:rsidR="00241B28" w:rsidRPr="004120ED" w:rsidRDefault="00241B28" w:rsidP="004120ED">
      <w:pPr>
        <w:widowControl/>
        <w:jc w:val="center"/>
        <w:rPr>
          <w:b/>
          <w:bCs/>
        </w:rPr>
      </w:pPr>
      <w:r w:rsidRPr="004120ED">
        <w:rPr>
          <w:b/>
          <w:bCs/>
        </w:rPr>
        <w:t>23</w:t>
      </w:r>
      <w:r w:rsidRPr="004120ED">
        <w:rPr>
          <w:b/>
          <w:bCs/>
          <w:vertAlign w:val="superscript"/>
        </w:rPr>
        <w:t>rd</w:t>
      </w:r>
      <w:r w:rsidR="004120ED" w:rsidRPr="004120ED">
        <w:rPr>
          <w:b/>
          <w:bCs/>
        </w:rPr>
        <w:t xml:space="preserve"> May 2016 Claimant A</w:t>
      </w:r>
      <w:r w:rsidRPr="004120ED">
        <w:rPr>
          <w:b/>
          <w:bCs/>
        </w:rPr>
        <w:t>pplication for more time to prepare for RCJ Appeal</w:t>
      </w:r>
    </w:p>
    <w:p w:rsidR="00241B28" w:rsidRDefault="00241B28">
      <w:pPr>
        <w:widowControl/>
        <w:rPr>
          <w:b/>
          <w:bCs/>
          <w:u w:val="single"/>
        </w:rPr>
      </w:pPr>
    </w:p>
    <w:p w:rsidR="004120ED" w:rsidRDefault="004120ED">
      <w:pPr>
        <w:widowControl/>
        <w:rPr>
          <w:b/>
          <w:bCs/>
          <w:u w:val="single"/>
        </w:rPr>
      </w:pPr>
    </w:p>
    <w:p w:rsidR="004120ED" w:rsidRDefault="004120ED">
      <w:pPr>
        <w:widowControl/>
        <w:rPr>
          <w:b/>
          <w:bCs/>
          <w:u w:val="single"/>
        </w:rPr>
      </w:pPr>
    </w:p>
    <w:p w:rsidR="00241B28" w:rsidRDefault="00241B28">
      <w:pPr>
        <w:widowControl/>
        <w:rPr>
          <w:b/>
          <w:bCs/>
          <w:u w:val="single"/>
        </w:rPr>
      </w:pPr>
      <w:r>
        <w:rPr>
          <w:b/>
          <w:bCs/>
          <w:u w:val="single"/>
        </w:rPr>
        <w:t>Appendix 1</w:t>
      </w:r>
    </w:p>
    <w:p w:rsidR="00241B28" w:rsidRDefault="00241B28">
      <w:pPr>
        <w:widowControl/>
        <w:rPr>
          <w:b/>
          <w:bCs/>
          <w:u w:val="single"/>
        </w:rPr>
      </w:pPr>
    </w:p>
    <w:p w:rsidR="004120ED" w:rsidRDefault="004120ED">
      <w:pPr>
        <w:widowControl/>
        <w:rPr>
          <w:b/>
          <w:bCs/>
          <w:u w:val="single"/>
        </w:rPr>
      </w:pPr>
    </w:p>
    <w:p w:rsidR="006C1D76" w:rsidRDefault="006C1D76">
      <w:pPr>
        <w:widowControl/>
        <w:rPr>
          <w:b/>
          <w:bCs/>
          <w:u w:val="single"/>
        </w:rPr>
      </w:pPr>
      <w:r>
        <w:rPr>
          <w:b/>
          <w:bCs/>
          <w:u w:val="single"/>
        </w:rPr>
        <w:t xml:space="preserve">Rough </w:t>
      </w:r>
      <w:r w:rsidR="00241B28">
        <w:rPr>
          <w:b/>
          <w:bCs/>
          <w:u w:val="single"/>
        </w:rPr>
        <w:t>1</w:t>
      </w:r>
      <w:r w:rsidR="00241B28" w:rsidRPr="00241B28">
        <w:rPr>
          <w:b/>
          <w:bCs/>
          <w:u w:val="single"/>
          <w:vertAlign w:val="superscript"/>
        </w:rPr>
        <w:t>st</w:t>
      </w:r>
      <w:r w:rsidR="00241B28">
        <w:rPr>
          <w:b/>
          <w:bCs/>
          <w:u w:val="single"/>
        </w:rPr>
        <w:t xml:space="preserve"> </w:t>
      </w:r>
      <w:r>
        <w:rPr>
          <w:b/>
          <w:bCs/>
          <w:u w:val="single"/>
        </w:rPr>
        <w:t>Draft</w:t>
      </w:r>
    </w:p>
    <w:p w:rsidR="006C1D76" w:rsidRDefault="006C1D76">
      <w:pPr>
        <w:widowControl/>
        <w:rPr>
          <w:b/>
          <w:bCs/>
          <w:u w:val="single"/>
        </w:rPr>
      </w:pPr>
    </w:p>
    <w:p w:rsidR="004D2ABC" w:rsidRDefault="004D2ABC" w:rsidP="004120ED">
      <w:pPr>
        <w:widowControl/>
        <w:jc w:val="center"/>
        <w:rPr>
          <w:b/>
          <w:u w:val="single"/>
        </w:rPr>
      </w:pPr>
      <w:r>
        <w:rPr>
          <w:b/>
          <w:bCs/>
          <w:u w:val="single"/>
        </w:rPr>
        <w:t>Action 1 Clai</w:t>
      </w:r>
      <w:r w:rsidR="006C1D76">
        <w:rPr>
          <w:b/>
          <w:bCs/>
          <w:u w:val="single"/>
        </w:rPr>
        <w:t>m 8-6 Grand Avenue Ely 20May1993</w:t>
      </w:r>
    </w:p>
    <w:p w:rsidR="004D2ABC" w:rsidRDefault="004D2ABC">
      <w:pPr>
        <w:widowControl/>
        <w:rPr>
          <w:u w:val="single"/>
        </w:rPr>
      </w:pPr>
    </w:p>
    <w:p w:rsidR="004120ED" w:rsidRDefault="004120ED">
      <w:pPr>
        <w:widowControl/>
        <w:rPr>
          <w:u w:val="single"/>
        </w:rPr>
      </w:pPr>
    </w:p>
    <w:p w:rsidR="004D2ABC" w:rsidRDefault="004D2ABC">
      <w:pPr>
        <w:widowControl/>
        <w:rPr>
          <w:u w:val="single"/>
        </w:rPr>
      </w:pPr>
      <w:r>
        <w:rPr>
          <w:u w:val="single"/>
        </w:rPr>
        <w:t>PACE violations, both Statute &amp; Code breaches.</w:t>
      </w:r>
    </w:p>
    <w:p w:rsidR="004D2ABC" w:rsidRDefault="004D2ABC">
      <w:pPr>
        <w:widowControl/>
        <w:rPr>
          <w:u w:val="single"/>
        </w:rPr>
      </w:pPr>
    </w:p>
    <w:p w:rsidR="004D2ABC" w:rsidRDefault="004D2ABC">
      <w:pPr>
        <w:widowControl/>
        <w:rPr>
          <w:u w:val="single"/>
        </w:rPr>
      </w:pPr>
      <w:r>
        <w:rPr>
          <w:u w:val="single"/>
        </w:rPr>
        <w:t>The Review</w:t>
      </w:r>
    </w:p>
    <w:p w:rsidR="004D2ABC" w:rsidRDefault="004D2ABC">
      <w:pPr>
        <w:widowControl/>
      </w:pPr>
    </w:p>
    <w:p w:rsidR="004427F3" w:rsidRDefault="004D2ABC" w:rsidP="004427F3">
      <w:pPr>
        <w:widowControl/>
        <w:numPr>
          <w:ilvl w:val="0"/>
          <w:numId w:val="1"/>
        </w:numPr>
      </w:pPr>
      <w:r>
        <w:t>Sgt Crutcher is claimed to have held a review whilst MJK was detained at Fairwater Police Station (F</w:t>
      </w:r>
      <w:r w:rsidR="004120ED">
        <w:t>WPS) on 20 T</w:t>
      </w:r>
      <w:r w:rsidR="006C1D76">
        <w:t xml:space="preserve">hurs </w:t>
      </w:r>
      <w:r>
        <w:t>21</w:t>
      </w:r>
      <w:r w:rsidRPr="00832406">
        <w:rPr>
          <w:vertAlign w:val="superscript"/>
        </w:rPr>
        <w:t>st</w:t>
      </w:r>
      <w:r w:rsidR="00832406">
        <w:t xml:space="preserve"> </w:t>
      </w:r>
      <w:r>
        <w:t>May 1993, yet the procedure failed it’s primary purpose and safeguards and it is all to clear to the impartial observer that no review at all would have taken place had it not been for the Claimant’s intervention, albeit unwittingly and it was not his responsibility but PS Huckfield &amp; PS Crutcher’s.</w:t>
      </w:r>
    </w:p>
    <w:p w:rsidR="004427F3" w:rsidRDefault="004427F3" w:rsidP="004427F3">
      <w:pPr>
        <w:widowControl/>
        <w:ind w:left="720"/>
      </w:pPr>
    </w:p>
    <w:p w:rsidR="004427F3" w:rsidRDefault="004D2ABC" w:rsidP="004427F3">
      <w:pPr>
        <w:widowControl/>
        <w:numPr>
          <w:ilvl w:val="0"/>
          <w:numId w:val="1"/>
        </w:numPr>
      </w:pPr>
      <w:r>
        <w:t xml:space="preserve">The review is mandatory, it’s defective </w:t>
      </w:r>
      <w:r w:rsidR="006C1D76">
        <w:t>conception</w:t>
      </w:r>
      <w:r>
        <w:t xml:space="preserve"> and execution in this case pale into insignificance that the calumny has extended t</w:t>
      </w:r>
      <w:r w:rsidR="006C1D76">
        <w:t xml:space="preserve">o this court, to Williams QC &amp; </w:t>
      </w:r>
      <w:r>
        <w:t>HHJ Seys-Llewellyn QC, who can have no excuse at their collusion in covering up such egregious disregard of the law and the Will of Parliament, as the safeguards are central component of the checks on tyrannical power that Magna Carta began to address leading up</w:t>
      </w:r>
      <w:r w:rsidR="006C1D76">
        <w:t xml:space="preserve"> </w:t>
      </w:r>
      <w:r>
        <w:t>to PACE.</w:t>
      </w:r>
    </w:p>
    <w:p w:rsidR="004427F3" w:rsidRDefault="004427F3" w:rsidP="004427F3">
      <w:pPr>
        <w:pStyle w:val="ListParagraph"/>
      </w:pPr>
    </w:p>
    <w:p w:rsidR="004427F3" w:rsidRDefault="004D2ABC" w:rsidP="004427F3">
      <w:pPr>
        <w:widowControl/>
        <w:numPr>
          <w:ilvl w:val="0"/>
          <w:numId w:val="1"/>
        </w:numPr>
      </w:pPr>
      <w:r>
        <w:t xml:space="preserve">More egregious still and definitely more depressing is that in the context of all the other violations and PACE breaches that occurred in this single incident, one could argue that this particular aspect is of lesser import, but this only serves to highlight the appalling abuses that transpired before &amp; after this review. It is difficult to even explain to any lay person or even an MP, who drafted the law in the first place, to detail that a British subject, under the regimen and era of PACE, was imprisoned for the lowliest of offences it is just </w:t>
      </w:r>
      <w:r w:rsidR="006C1D76">
        <w:t xml:space="preserve">about possible to commit in this </w:t>
      </w:r>
      <w:r>
        <w:t xml:space="preserve">country, one that is never punishable by imprisonment, namely a regulatory traffic violation, one of documentary oversight or confusion. </w:t>
      </w:r>
    </w:p>
    <w:p w:rsidR="004427F3" w:rsidRDefault="004427F3" w:rsidP="004427F3">
      <w:pPr>
        <w:pStyle w:val="ListParagraph"/>
      </w:pPr>
    </w:p>
    <w:p w:rsidR="004427F3" w:rsidRDefault="004D2ABC" w:rsidP="004427F3">
      <w:pPr>
        <w:widowControl/>
        <w:numPr>
          <w:ilvl w:val="0"/>
          <w:numId w:val="1"/>
        </w:numPr>
      </w:pPr>
      <w:r>
        <w:t xml:space="preserve">Or to explain it another way, focusing on another aspect (yet another) namely the irrational, nay perverse, notion of being arrested, then jailed, for not giving one’s name to a policeman when </w:t>
      </w:r>
      <w:r w:rsidRPr="004427F3">
        <w:rPr>
          <w:b/>
        </w:rPr>
        <w:t xml:space="preserve">a) </w:t>
      </w:r>
      <w:r>
        <w:t xml:space="preserve">the policeman had no authority to ask it, let alone </w:t>
      </w:r>
      <w:r>
        <w:lastRenderedPageBreak/>
        <w:t xml:space="preserve">compel it and </w:t>
      </w:r>
      <w:r w:rsidRPr="004427F3">
        <w:rPr>
          <w:b/>
        </w:rPr>
        <w:t>b)</w:t>
      </w:r>
      <w:r>
        <w:t xml:space="preserve"> the policeman did not actually ask for it in the first place, in fact irrational or perverse are insufficient adjectives to describe such a farcical situation.          [</w:t>
      </w:r>
      <w:r w:rsidRPr="004427F3">
        <w:rPr>
          <w:b/>
        </w:rPr>
        <w:t xml:space="preserve"> sine non legia praevia.</w:t>
      </w:r>
      <w:r w:rsidR="006E7DB5">
        <w:t>...</w:t>
      </w:r>
      <w:r>
        <w:t xml:space="preserve"> also Art7 ECHR/HRA, and assoc legal authorities   etc   LOOKUP ]</w:t>
      </w:r>
    </w:p>
    <w:p w:rsidR="004427F3" w:rsidRDefault="004427F3" w:rsidP="004427F3">
      <w:pPr>
        <w:pStyle w:val="ListParagraph"/>
      </w:pPr>
    </w:p>
    <w:p w:rsidR="004427F3" w:rsidRDefault="004D2ABC" w:rsidP="004427F3">
      <w:pPr>
        <w:widowControl/>
        <w:numPr>
          <w:ilvl w:val="0"/>
          <w:numId w:val="1"/>
        </w:numPr>
      </w:pPr>
      <w:r>
        <w:t xml:space="preserve">Back to the “review”. It was late, it was defective and was only cobbled together </w:t>
      </w:r>
      <w:r w:rsidR="006C1D76">
        <w:t>after MJK appeared to be getting</w:t>
      </w:r>
      <w:r>
        <w:t xml:space="preserve"> his second wind: asking the relevant questions, reite</w:t>
      </w:r>
      <w:r w:rsidR="006C1D76">
        <w:t>rating his requests for his rig</w:t>
      </w:r>
      <w:r>
        <w:t>h</w:t>
      </w:r>
      <w:r w:rsidR="006C1D76">
        <w:t>t</w:t>
      </w:r>
      <w:r>
        <w:t>s to be honoured.  Had it not been for this discours</w:t>
      </w:r>
      <w:r w:rsidR="006C1D76">
        <w:t xml:space="preserve">e at approx 20-20hrs there is </w:t>
      </w:r>
      <w:r>
        <w:t>ample evidence to suggest the Police had no intention of carrying one out; the second review appears to have been peremptory at best [ a topic worthy of further exploration were it not for the dearth of information available].  By this time the strict time limit for said review had already been broken, yet there was no urgency to rect</w:t>
      </w:r>
      <w:r w:rsidR="006C1D76">
        <w:t>if</w:t>
      </w:r>
      <w:r>
        <w:t>y this, or record of it either.</w:t>
      </w:r>
    </w:p>
    <w:p w:rsidR="004427F3" w:rsidRDefault="004427F3" w:rsidP="004427F3">
      <w:pPr>
        <w:pStyle w:val="ListParagraph"/>
      </w:pPr>
    </w:p>
    <w:p w:rsidR="004427F3" w:rsidRDefault="004D2ABC" w:rsidP="004427F3">
      <w:pPr>
        <w:widowControl/>
        <w:numPr>
          <w:ilvl w:val="0"/>
          <w:numId w:val="1"/>
        </w:numPr>
      </w:pPr>
      <w:r>
        <w:t xml:space="preserve"> This Court has exploited the Claimant’s diminished capacity to assist in keeping the truth from emerging, to cite one barrister’s observation that “it’s like taking sweets from a baby”. There is no mention of any other more suitable Inspect</w:t>
      </w:r>
      <w:r w:rsidR="006C1D76">
        <w:t>or ranks being on strength at FW</w:t>
      </w:r>
      <w:r>
        <w:t xml:space="preserve">PS, or close by to attend to carry out said review; Sgt Crutcher was in the same building yet his colleague Sgt Huckfield did not arrange for his presence until </w:t>
      </w:r>
      <w:r w:rsidRPr="004427F3">
        <w:rPr>
          <w:b/>
        </w:rPr>
        <w:t>3/4 hr</w:t>
      </w:r>
      <w:r>
        <w:t xml:space="preserve"> later, a very long time indeed merely to walk down a flight of stairs or two.</w:t>
      </w:r>
    </w:p>
    <w:p w:rsidR="004427F3" w:rsidRDefault="004427F3" w:rsidP="004427F3">
      <w:pPr>
        <w:pStyle w:val="ListParagraph"/>
      </w:pPr>
    </w:p>
    <w:p w:rsidR="004D2ABC" w:rsidRDefault="004D2ABC" w:rsidP="004427F3">
      <w:pPr>
        <w:widowControl/>
        <w:numPr>
          <w:ilvl w:val="0"/>
          <w:numId w:val="1"/>
        </w:numPr>
      </w:pPr>
      <w:r>
        <w:t>The reviewing officer’s obligation is to look afresh at the grounds for detention, and whether powers continue to be in effect, and that the necessity remains to deprive a citizen of liberty, mere convenience of the Police is insufficient, malfeasant even.</w:t>
      </w:r>
    </w:p>
    <w:p w:rsidR="004427F3" w:rsidRDefault="004427F3" w:rsidP="004427F3">
      <w:pPr>
        <w:pStyle w:val="ListParagraph"/>
      </w:pPr>
    </w:p>
    <w:p w:rsidR="004427F3" w:rsidRDefault="004427F3" w:rsidP="004427F3">
      <w:pPr>
        <w:widowControl/>
        <w:ind w:left="720"/>
      </w:pPr>
    </w:p>
    <w:p w:rsidR="004427F3" w:rsidRDefault="004D2ABC">
      <w:pPr>
        <w:widowControl/>
      </w:pPr>
      <w:r>
        <w:t xml:space="preserve">[ PIC </w:t>
      </w:r>
      <w:r w:rsidR="004427F3">
        <w:t xml:space="preserve">-  PACE s66(?) Code C para 15B </w:t>
      </w:r>
      <w:r>
        <w:t>“</w:t>
      </w:r>
      <w:r>
        <w:rPr>
          <w:b/>
          <w:i/>
        </w:rPr>
        <w:t>the purpose of such reviews is to check the particular power which a detainee is held continues to apply, any associated conditions are complied with and to make sure appropriate action is taken to deal with any changes. This includes the detainee’s prompt release when the power no longer applies</w:t>
      </w:r>
      <w:r>
        <w:t>”</w:t>
      </w:r>
      <w:r w:rsidR="004427F3">
        <w:t>]</w:t>
      </w:r>
    </w:p>
    <w:p w:rsidR="004427F3" w:rsidRDefault="004427F3">
      <w:pPr>
        <w:widowControl/>
      </w:pPr>
    </w:p>
    <w:p w:rsidR="004427F3" w:rsidRDefault="004D2ABC" w:rsidP="004427F3">
      <w:pPr>
        <w:widowControl/>
        <w:numPr>
          <w:ilvl w:val="0"/>
          <w:numId w:val="1"/>
        </w:numPr>
      </w:pPr>
      <w:r>
        <w:t xml:space="preserve">MJK had been detained under PACE s25, the police claiming not to be able to ascertain his identity, the circumstances of which becoming widely known throughout the entire Force (re </w:t>
      </w:r>
      <w:r w:rsidR="006C1D76">
        <w:t xml:space="preserve">Llantwit Major’s Sgt </w:t>
      </w:r>
      <w:r>
        <w:t>Booker et al</w:t>
      </w:r>
      <w:r w:rsidR="006C1D76">
        <w:t xml:space="preserve"> (1</w:t>
      </w:r>
      <w:r w:rsidR="006C1D76" w:rsidRPr="006C1D76">
        <w:rPr>
          <w:vertAlign w:val="superscript"/>
        </w:rPr>
        <w:t>st</w:t>
      </w:r>
      <w:r w:rsidR="006C1D76">
        <w:t xml:space="preserve"> Action 8.11</w:t>
      </w:r>
      <w:r>
        <w:t>). However</w:t>
      </w:r>
      <w:r w:rsidR="004427F3">
        <w:t>,</w:t>
      </w:r>
      <w:r>
        <w:t xml:space="preserve"> we know on the Police’s own evid</w:t>
      </w:r>
      <w:r w:rsidR="00241B28">
        <w:t>e</w:t>
      </w:r>
      <w:r>
        <w:t xml:space="preserve">nce that his identity was readily available </w:t>
      </w:r>
      <w:r>
        <w:rPr>
          <w:i/>
        </w:rPr>
        <w:t>ab intio</w:t>
      </w:r>
      <w:r>
        <w:t>, and that they knew it beyond doubt less than 2 hours after his arrest, and almost 5 hours before Sgt Crutcher “rubber stamped” said “review”.</w:t>
      </w:r>
    </w:p>
    <w:p w:rsidR="004427F3" w:rsidRDefault="004427F3" w:rsidP="004427F3">
      <w:pPr>
        <w:widowControl/>
        <w:ind w:left="720"/>
      </w:pPr>
    </w:p>
    <w:p w:rsidR="004427F3" w:rsidRDefault="004D2ABC" w:rsidP="004427F3">
      <w:pPr>
        <w:widowControl/>
        <w:numPr>
          <w:ilvl w:val="0"/>
          <w:numId w:val="1"/>
        </w:numPr>
      </w:pPr>
      <w:r>
        <w:t>There is no evidence that Assault on Police had entered into the equation at this point, as it was DC GRIFFITHS’ whom it appears to have directed THOMAS to fabricate that charge later, and even if it were, yet again there would have been no grounds to detain MJK in relation to it, again in fact quite to the contrary as to do so would have been entirely unlawful, so the Police are welcome to suggest such a charge was pending at this point. Had it been Sgt CRUTCHER Will have been obligated to order immediate and unconditional release, bail could have been att</w:t>
      </w:r>
      <w:r w:rsidR="00241B28">
        <w:t>em</w:t>
      </w:r>
      <w:r>
        <w:t>pted a</w:t>
      </w:r>
      <w:r w:rsidR="00241B28">
        <w:t>lbeit under the circumstances n</w:t>
      </w:r>
      <w:r>
        <w:t xml:space="preserve">one, let alone MJK would have been lawfully required to accept it. </w:t>
      </w:r>
    </w:p>
    <w:p w:rsidR="004427F3" w:rsidRDefault="004427F3" w:rsidP="004427F3">
      <w:pPr>
        <w:pStyle w:val="ListParagraph"/>
      </w:pPr>
    </w:p>
    <w:p w:rsidR="004427F3" w:rsidRDefault="004D2ABC" w:rsidP="004427F3">
      <w:pPr>
        <w:widowControl/>
        <w:numPr>
          <w:ilvl w:val="0"/>
          <w:numId w:val="1"/>
        </w:numPr>
      </w:pPr>
      <w:r>
        <w:t>At worst, they should have r</w:t>
      </w:r>
      <w:r w:rsidR="00241B28">
        <w:t>e</w:t>
      </w:r>
      <w:r>
        <w:t>ported for summons and let MJK argue it with a magistrate, a task he was well accustomed to, though again for what charge as there was no applicable charge, so the limit of the Police’s authority at th</w:t>
      </w:r>
      <w:r w:rsidR="00241B28">
        <w:t>is point (and all ti</w:t>
      </w:r>
      <w:r>
        <w:t>m</w:t>
      </w:r>
      <w:r w:rsidR="00241B28">
        <w:t>e</w:t>
      </w:r>
      <w:r>
        <w:t xml:space="preserve"> preceding and fol</w:t>
      </w:r>
      <w:r w:rsidR="00241B28">
        <w:t>l</w:t>
      </w:r>
      <w:r>
        <w:t>owing) was to issue a HORT1 and let MJK be on his way. If they genuinely held any suspicion over the bike, all proportional and sensible avenues had already been exhausted, the Police’s obligation to protect property was extant, the bike was in their custody and thus the only lawful option would be to unconditionally bail MJK.</w:t>
      </w:r>
    </w:p>
    <w:p w:rsidR="004427F3" w:rsidRDefault="004427F3" w:rsidP="004427F3">
      <w:pPr>
        <w:pStyle w:val="ListParagraph"/>
      </w:pPr>
    </w:p>
    <w:p w:rsidR="004427F3" w:rsidRDefault="004D2ABC" w:rsidP="004427F3">
      <w:pPr>
        <w:widowControl/>
        <w:numPr>
          <w:ilvl w:val="0"/>
          <w:numId w:val="1"/>
        </w:numPr>
      </w:pPr>
      <w:r>
        <w:t>All of this CRUTCHER was obliged to evaluate and elucidate. He was also obligated to receive representations from MJK, he was to conduct the review in his presence, but there is little evidence of this. Key is his description of MJK, who some time earlier had undeniably been lucid and vociferous over his detention, to claim having secured action, finally, that he acquiesced and failed to engage at all with CRUTCHER. What is far more likely is the incident about this time, that MJK did recall: of some officer, unknown to him, peering through the latch and declaring “That’s Kirk” was not from Barry, as the MJK has tenaciously clung to, but CRUTCHER performing said “review”.  THOMAS seemingly played no part, Huckfield also simply filling out the record with the p</w:t>
      </w:r>
      <w:r w:rsidR="00241B28">
        <w:t>ro forma standard phrases, cruci</w:t>
      </w:r>
      <w:r>
        <w:t>ally missing critical information and TWO FURTHER Codes breaches.  Alternatively had the circumstances been as CRUTCHER detailed then again he was in significant breach of his duties.</w:t>
      </w:r>
    </w:p>
    <w:p w:rsidR="004427F3" w:rsidRDefault="004427F3" w:rsidP="004427F3">
      <w:pPr>
        <w:pStyle w:val="ListParagraph"/>
      </w:pPr>
    </w:p>
    <w:p w:rsidR="004427F3" w:rsidRDefault="00241B28" w:rsidP="004427F3">
      <w:pPr>
        <w:widowControl/>
        <w:numPr>
          <w:ilvl w:val="0"/>
          <w:numId w:val="1"/>
        </w:numPr>
      </w:pPr>
      <w:r>
        <w:t xml:space="preserve">PC </w:t>
      </w:r>
      <w:r w:rsidR="004D2ABC">
        <w:t xml:space="preserve">THOMAS claimed significant injuries from his assault on </w:t>
      </w:r>
      <w:r>
        <w:t>MJK such that he took some days</w:t>
      </w:r>
      <w:r w:rsidR="004D2ABC">
        <w:t xml:space="preserve"> off work. MJK being the victim, having been thrown to the ground and at risk of significant head injuries comp</w:t>
      </w:r>
      <w:r>
        <w:t>o</w:t>
      </w:r>
      <w:r w:rsidR="004D2ABC">
        <w:t>unde</w:t>
      </w:r>
      <w:r>
        <w:t>d with his age and existing infirmities (seven broken joints)</w:t>
      </w:r>
      <w:r w:rsidR="004D2ABC">
        <w:t xml:space="preserve"> would have sustained far more serious injuries, he was knocked over backwards, any opportunity to break the fall denied him as his assailant sought to bind his only chance of support, his hands, elbows, arms. He was then placed at risk of asphyxia for a period of time with two officers on his back, then further placed at risk by the method and delay in transport. When CRUTCHER purportedly carried out said review, the FME was due [ CHECK THIS</w:t>
      </w:r>
      <w:r w:rsidR="004427F3">
        <w:t xml:space="preserve"> *****</w:t>
      </w:r>
      <w:r w:rsidR="004D2ABC">
        <w:t>] , so if MJK was truly in the posture as describe</w:t>
      </w:r>
      <w:r>
        <w:t>d he was again at risk of asphy</w:t>
      </w:r>
      <w:r w:rsidR="004D2ABC">
        <w:t>xia, capable of fatal consequences within just a few minutes, so given the circumstances there were numerous red flags to impose a positive obligation under Art2 for CRUTCHER (and ultimately HUCKFIELD) to proactively verified on MJK’s acute health status / condition.  They did none of these things.</w:t>
      </w:r>
    </w:p>
    <w:p w:rsidR="004427F3" w:rsidRDefault="004427F3" w:rsidP="004427F3">
      <w:pPr>
        <w:pStyle w:val="ListParagraph"/>
      </w:pPr>
    </w:p>
    <w:p w:rsidR="004427F3" w:rsidRDefault="004427F3" w:rsidP="004427F3">
      <w:pPr>
        <w:widowControl/>
      </w:pPr>
      <w:r>
        <w:t xml:space="preserve">[ PIC    Code C para 15.13 </w:t>
      </w:r>
      <w:r w:rsidR="004D2ABC">
        <w:t>“</w:t>
      </w:r>
      <w:r w:rsidR="004D2ABC" w:rsidRPr="004427F3">
        <w:rPr>
          <w:i/>
        </w:rPr>
        <w:t xml:space="preserve">The </w:t>
      </w:r>
      <w:r w:rsidR="004D2ABC" w:rsidRPr="004427F3">
        <w:rPr>
          <w:b/>
          <w:i/>
        </w:rPr>
        <w:t>grounds</w:t>
      </w:r>
      <w:r w:rsidR="004D2ABC" w:rsidRPr="004427F3">
        <w:rPr>
          <w:i/>
        </w:rPr>
        <w:t xml:space="preserve"> for, </w:t>
      </w:r>
      <w:r w:rsidR="004D2ABC" w:rsidRPr="004427F3">
        <w:rPr>
          <w:b/>
          <w:i/>
        </w:rPr>
        <w:t>and extent</w:t>
      </w:r>
      <w:r w:rsidR="004D2ABC" w:rsidRPr="004427F3">
        <w:rPr>
          <w:i/>
        </w:rPr>
        <w:t xml:space="preserve"> of, </w:t>
      </w:r>
      <w:r w:rsidR="004D2ABC" w:rsidRPr="004427F3">
        <w:rPr>
          <w:b/>
          <w:i/>
          <w:u w:val="single"/>
        </w:rPr>
        <w:t>any</w:t>
      </w:r>
      <w:r w:rsidR="004D2ABC" w:rsidRPr="004427F3">
        <w:rPr>
          <w:i/>
        </w:rPr>
        <w:t xml:space="preserve"> delay in conducting a review </w:t>
      </w:r>
      <w:r w:rsidR="004D2ABC" w:rsidRPr="004427F3">
        <w:rPr>
          <w:b/>
          <w:i/>
        </w:rPr>
        <w:t>shall</w:t>
      </w:r>
      <w:r w:rsidR="004D2ABC" w:rsidRPr="004427F3">
        <w:rPr>
          <w:i/>
        </w:rPr>
        <w:t xml:space="preserve"> be recorded</w:t>
      </w:r>
      <w:r w:rsidR="004D2ABC">
        <w:t>.”</w:t>
      </w:r>
      <w:r>
        <w:t xml:space="preserve"> ]</w:t>
      </w:r>
    </w:p>
    <w:p w:rsidR="004427F3" w:rsidRDefault="004427F3" w:rsidP="004427F3">
      <w:pPr>
        <w:pStyle w:val="ListParagraph"/>
      </w:pPr>
    </w:p>
    <w:p w:rsidR="004427F3" w:rsidRDefault="004D2ABC" w:rsidP="004427F3">
      <w:pPr>
        <w:widowControl/>
        <w:numPr>
          <w:ilvl w:val="0"/>
          <w:numId w:val="1"/>
        </w:numPr>
      </w:pPr>
      <w:r>
        <w:t>CRUTCHER &amp; HUCKFIELD</w:t>
      </w:r>
      <w:r w:rsidR="006E7DB5">
        <w:t xml:space="preserve"> </w:t>
      </w:r>
      <w:r>
        <w:t>( check or BROWN</w:t>
      </w:r>
      <w:r w:rsidR="006E7DB5">
        <w:t>?</w:t>
      </w:r>
      <w:r>
        <w:t>) collude in omitting this</w:t>
      </w:r>
      <w:r w:rsidR="00241B28">
        <w:t xml:space="preserve"> </w:t>
      </w:r>
      <w:r>
        <w:t>mandatory information fro</w:t>
      </w:r>
      <w:r w:rsidR="006E7DB5">
        <w:t>m</w:t>
      </w:r>
      <w:r>
        <w:t xml:space="preserve"> the record.  They omit the fact MJK’s identity is known and that the prospective charge did not warrant detention, even if it had been a genuine situation, the omissions serve as strong evidence to the true nature of the situation: one of cynical exploitation of power and abuse. An interesting point of law arises from this, whether CRUTCHER (if we accept he did carry some form of review however incompetently) asked MJK for any of his details, for had he done so it could have constituted an “interview”, as he was putatively held for failing to provide his name and address </w:t>
      </w:r>
      <w:r w:rsidRPr="004427F3">
        <w:rPr>
          <w:b/>
        </w:rPr>
        <w:t>Code C para 15.6 &amp; 11.1A</w:t>
      </w:r>
      <w:r>
        <w:t xml:space="preserve"> may have been engaged.</w:t>
      </w:r>
    </w:p>
    <w:p w:rsidR="004427F3" w:rsidRDefault="004427F3" w:rsidP="004427F3">
      <w:pPr>
        <w:widowControl/>
      </w:pPr>
    </w:p>
    <w:p w:rsidR="004D2ABC" w:rsidRDefault="004D2ABC" w:rsidP="004427F3">
      <w:pPr>
        <w:widowControl/>
        <w:numPr>
          <w:ilvl w:val="0"/>
          <w:numId w:val="1"/>
        </w:numPr>
      </w:pPr>
      <w:r>
        <w:t>I suspect the answer is that 15.6 is not engaged because name and address are n</w:t>
      </w:r>
      <w:r w:rsidR="00241B28">
        <w:t>ot considered involvement in an</w:t>
      </w:r>
      <w:r>
        <w:t xml:space="preserve"> offence and thus we come full circle back to the source of the entire drama - failing to answer the officer or provide name and address are not offences in the UK, and the related offence under RTA is 1) not applicable in this case because the po</w:t>
      </w:r>
      <w:r w:rsidR="00241B28">
        <w:t>lice had no evidence at the rele</w:t>
      </w:r>
      <w:r>
        <w:t>vant time (and no objective grounds to support reasonable suspicion), and even had it been it is not necessary or proporti</w:t>
      </w:r>
      <w:r w:rsidR="00241B28">
        <w:t>on</w:t>
      </w:r>
      <w:r>
        <w:t xml:space="preserve">ate to detain anyone over it. I believe it was </w:t>
      </w:r>
      <w:r w:rsidRPr="004427F3">
        <w:rPr>
          <w:b/>
          <w:i/>
        </w:rPr>
        <w:t>Hough</w:t>
      </w:r>
      <w:r>
        <w:t xml:space="preserve"> [2001] whereby an hour maximum was established for such similar circumstances but in that case there was a serious firearms and violence threat, so it is established where the potential risk to the public is severe, let alone any officer involved, detaining a person for more than hour would be unlawful.</w:t>
      </w:r>
    </w:p>
    <w:p w:rsidR="004427F3" w:rsidRDefault="004427F3" w:rsidP="004427F3">
      <w:pPr>
        <w:pStyle w:val="ListParagraph"/>
      </w:pPr>
    </w:p>
    <w:p w:rsidR="004427F3" w:rsidRDefault="004427F3" w:rsidP="004427F3">
      <w:pPr>
        <w:widowControl/>
      </w:pPr>
      <w:r>
        <w:t>This must be the most breaches of PACE 1984 by a Welsh or UK police force in any one incident or, indeed, in a space of 24hrs</w:t>
      </w:r>
    </w:p>
    <w:p w:rsidR="004427F3" w:rsidRDefault="004427F3" w:rsidP="004427F3">
      <w:pPr>
        <w:widowControl/>
      </w:pPr>
    </w:p>
    <w:p w:rsidR="00D67729" w:rsidRDefault="00C66C99" w:rsidP="004427F3">
      <w:pPr>
        <w:widowControl/>
      </w:pPr>
      <w:hyperlink r:id="rId7" w:history="1">
        <w:r w:rsidRPr="00C66C99">
          <w:rPr>
            <w:rStyle w:val="Hyperlink"/>
          </w:rPr>
          <w:t>garrotte.jpg</w:t>
        </w:r>
      </w:hyperlink>
    </w:p>
    <w:p w:rsidR="00C66C99" w:rsidRDefault="00C66C99" w:rsidP="004427F3">
      <w:pPr>
        <w:widowControl/>
      </w:pPr>
    </w:p>
    <w:p w:rsidR="00D67729" w:rsidRDefault="00D67729" w:rsidP="004427F3">
      <w:pPr>
        <w:widowControl/>
      </w:pPr>
    </w:p>
    <w:p w:rsidR="004427F3" w:rsidRDefault="004427F3" w:rsidP="004427F3">
      <w:pPr>
        <w:widowControl/>
      </w:pPr>
      <w:r>
        <w:t>To be continued</w:t>
      </w:r>
    </w:p>
    <w:sectPr w:rsidR="004427F3">
      <w:footerReference w:type="default" r:id="rId8"/>
      <w:type w:val="continuous"/>
      <w:pgSz w:w="11905" w:h="16837"/>
      <w:pgMar w:top="1440" w:right="1440" w:bottom="1440" w:left="1440" w:header="720" w:footer="720" w:gutter="0"/>
      <w:cols w:space="36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DD3F02" w:rsidRDefault="00DD3F02" w:rsidP="00D67729">
      <w:r>
        <w:separator/>
      </w:r>
    </w:p>
  </w:endnote>
  <w:endnote w:type="continuationSeparator" w:id="0">
    <w:p w:rsidR="00DD3F02" w:rsidRDefault="00DD3F02" w:rsidP="00D6772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67729" w:rsidRDefault="00D67729">
    <w:pPr>
      <w:pStyle w:val="Footer"/>
      <w:jc w:val="right"/>
    </w:pPr>
    <w:r>
      <w:t xml:space="preserve">Page </w:t>
    </w:r>
    <w:r>
      <w:rPr>
        <w:b/>
        <w:bCs/>
      </w:rPr>
      <w:fldChar w:fldCharType="begin"/>
    </w:r>
    <w:r>
      <w:rPr>
        <w:b/>
        <w:bCs/>
      </w:rPr>
      <w:instrText xml:space="preserve"> PAGE </w:instrText>
    </w:r>
    <w:r>
      <w:rPr>
        <w:b/>
        <w:bCs/>
      </w:rPr>
      <w:fldChar w:fldCharType="separate"/>
    </w:r>
    <w:r w:rsidR="00DD3F02">
      <w:rPr>
        <w:b/>
        <w:bCs/>
        <w:noProof/>
      </w:rPr>
      <w:t>1</w:t>
    </w:r>
    <w:r>
      <w:rPr>
        <w:b/>
        <w:bCs/>
      </w:rPr>
      <w:fldChar w:fldCharType="end"/>
    </w:r>
    <w:r>
      <w:t xml:space="preserve"> of </w:t>
    </w:r>
    <w:r>
      <w:rPr>
        <w:b/>
        <w:bCs/>
      </w:rPr>
      <w:fldChar w:fldCharType="begin"/>
    </w:r>
    <w:r>
      <w:rPr>
        <w:b/>
        <w:bCs/>
      </w:rPr>
      <w:instrText xml:space="preserve"> NUMPAGES  </w:instrText>
    </w:r>
    <w:r>
      <w:rPr>
        <w:b/>
        <w:bCs/>
      </w:rPr>
      <w:fldChar w:fldCharType="separate"/>
    </w:r>
    <w:r w:rsidR="00DD3F02">
      <w:rPr>
        <w:b/>
        <w:bCs/>
        <w:noProof/>
      </w:rPr>
      <w:t>1</w:t>
    </w:r>
    <w:r>
      <w:rPr>
        <w:b/>
        <w:bCs/>
      </w:rPr>
      <w:fldChar w:fldCharType="end"/>
    </w:r>
  </w:p>
  <w:p w:rsidR="00D67729" w:rsidRDefault="00D6772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DD3F02" w:rsidRDefault="00DD3F02" w:rsidP="00D67729">
      <w:r>
        <w:separator/>
      </w:r>
    </w:p>
  </w:footnote>
  <w:footnote w:type="continuationSeparator" w:id="0">
    <w:p w:rsidR="00DD3F02" w:rsidRDefault="00DD3F02" w:rsidP="00D6772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00755D9"/>
    <w:multiLevelType w:val="hybridMultilevel"/>
    <w:tmpl w:val="320675A6"/>
    <w:lvl w:ilvl="0" w:tplc="0809000F">
      <w:start w:val="1"/>
      <w:numFmt w:val="decimal"/>
      <w:lvlText w:val="%1."/>
      <w:lvlJc w:val="left"/>
      <w:pPr>
        <w:ind w:left="720" w:hanging="360"/>
      </w:pPr>
      <w:rPr>
        <w:rFonts w:cs="Times New Roman" w:hint="default"/>
      </w:rPr>
    </w:lvl>
    <w:lvl w:ilvl="1" w:tplc="08090019" w:tentative="1">
      <w:start w:val="1"/>
      <w:numFmt w:val="lowerLetter"/>
      <w:lvlText w:val="%2."/>
      <w:lvlJc w:val="left"/>
      <w:pPr>
        <w:ind w:left="1440" w:hanging="360"/>
      </w:pPr>
      <w:rPr>
        <w:rFonts w:cs="Times New Roman"/>
      </w:rPr>
    </w:lvl>
    <w:lvl w:ilvl="2" w:tplc="0809001B" w:tentative="1">
      <w:start w:val="1"/>
      <w:numFmt w:val="lowerRoman"/>
      <w:lvlText w:val="%3."/>
      <w:lvlJc w:val="right"/>
      <w:pPr>
        <w:ind w:left="2160" w:hanging="180"/>
      </w:pPr>
      <w:rPr>
        <w:rFonts w:cs="Times New Roman"/>
      </w:rPr>
    </w:lvl>
    <w:lvl w:ilvl="3" w:tplc="0809000F" w:tentative="1">
      <w:start w:val="1"/>
      <w:numFmt w:val="decimal"/>
      <w:lvlText w:val="%4."/>
      <w:lvlJc w:val="left"/>
      <w:pPr>
        <w:ind w:left="2880" w:hanging="360"/>
      </w:pPr>
      <w:rPr>
        <w:rFonts w:cs="Times New Roman"/>
      </w:rPr>
    </w:lvl>
    <w:lvl w:ilvl="4" w:tplc="08090019" w:tentative="1">
      <w:start w:val="1"/>
      <w:numFmt w:val="lowerLetter"/>
      <w:lvlText w:val="%5."/>
      <w:lvlJc w:val="left"/>
      <w:pPr>
        <w:ind w:left="3600" w:hanging="360"/>
      </w:pPr>
      <w:rPr>
        <w:rFonts w:cs="Times New Roman"/>
      </w:rPr>
    </w:lvl>
    <w:lvl w:ilvl="5" w:tplc="0809001B" w:tentative="1">
      <w:start w:val="1"/>
      <w:numFmt w:val="lowerRoman"/>
      <w:lvlText w:val="%6."/>
      <w:lvlJc w:val="right"/>
      <w:pPr>
        <w:ind w:left="4320" w:hanging="180"/>
      </w:pPr>
      <w:rPr>
        <w:rFonts w:cs="Times New Roman"/>
      </w:rPr>
    </w:lvl>
    <w:lvl w:ilvl="6" w:tplc="0809000F" w:tentative="1">
      <w:start w:val="1"/>
      <w:numFmt w:val="decimal"/>
      <w:lvlText w:val="%7."/>
      <w:lvlJc w:val="left"/>
      <w:pPr>
        <w:ind w:left="5040" w:hanging="360"/>
      </w:pPr>
      <w:rPr>
        <w:rFonts w:cs="Times New Roman"/>
      </w:rPr>
    </w:lvl>
    <w:lvl w:ilvl="7" w:tplc="08090019" w:tentative="1">
      <w:start w:val="1"/>
      <w:numFmt w:val="lowerLetter"/>
      <w:lvlText w:val="%8."/>
      <w:lvlJc w:val="left"/>
      <w:pPr>
        <w:ind w:left="5760" w:hanging="360"/>
      </w:pPr>
      <w:rPr>
        <w:rFonts w:cs="Times New Roman"/>
      </w:rPr>
    </w:lvl>
    <w:lvl w:ilvl="8" w:tplc="0809001B" w:tentative="1">
      <w:start w:val="1"/>
      <w:numFmt w:val="lowerRoman"/>
      <w:lvlText w:val="%9."/>
      <w:lvlJc w:val="right"/>
      <w:pPr>
        <w:ind w:left="6480" w:hanging="180"/>
      </w:pPr>
      <w:rPr>
        <w:rFonts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savePreviewPicture/>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1D76"/>
    <w:rsid w:val="00241B28"/>
    <w:rsid w:val="002F4EDD"/>
    <w:rsid w:val="003B355A"/>
    <w:rsid w:val="004120ED"/>
    <w:rsid w:val="004427F3"/>
    <w:rsid w:val="004D2ABC"/>
    <w:rsid w:val="0062013B"/>
    <w:rsid w:val="006C1D76"/>
    <w:rsid w:val="006E7DB5"/>
    <w:rsid w:val="00832406"/>
    <w:rsid w:val="00C66C99"/>
    <w:rsid w:val="00D5604C"/>
    <w:rsid w:val="00D67729"/>
    <w:rsid w:val="00DD3F0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docId w15:val="{13E78B58-F9C2-4585-AE10-4AFD35B1C7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Times New Roman" w:hAnsi="Calibri" w:cs="Calibri"/>
        <w:lang w:val="en-GB" w:eastAsia="en-GB" w:bidi="ar-SA"/>
      </w:rPr>
    </w:rPrDefault>
    <w:pPrDefault/>
  </w:docDefaults>
  <w:latentStyles w:defLockedState="0" w:defUIPriority="99" w:defSemiHidden="0" w:defUnhideWhenUsed="0" w:defQFormat="0" w:count="375">
    <w:lsdException w:name="Normal" w:qFormat="1"/>
    <w:lsdException w:name="heading 1" w:qFormat="1"/>
    <w:lsdException w:name="heading 2" w:qFormat="1"/>
    <w:lsdException w:name="heading 3" w:qFormat="1"/>
    <w:lsdException w:name="heading 4"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autoSpaceDE w:val="0"/>
      <w:autoSpaceDN w:val="0"/>
      <w:adjustRightInd w:val="0"/>
    </w:pPr>
    <w:rPr>
      <w:rFonts w:ascii="Times New Roman" w:hAnsi="Times New Roman" w:cs="Times New Roman"/>
      <w:sz w:val="24"/>
      <w:szCs w:val="24"/>
    </w:rPr>
  </w:style>
  <w:style w:type="paragraph" w:styleId="Heading1">
    <w:name w:val="heading 1"/>
    <w:basedOn w:val="Normal"/>
    <w:next w:val="Normal"/>
    <w:link w:val="Heading1Char"/>
    <w:uiPriority w:val="99"/>
    <w:qFormat/>
    <w:pPr>
      <w:spacing w:before="440" w:after="60"/>
      <w:outlineLvl w:val="0"/>
    </w:pPr>
    <w:rPr>
      <w:rFonts w:ascii="Arial" w:hAnsi="Arial" w:cs="Arial"/>
      <w:b/>
      <w:bCs/>
      <w:sz w:val="34"/>
      <w:szCs w:val="34"/>
    </w:rPr>
  </w:style>
  <w:style w:type="paragraph" w:styleId="Heading2">
    <w:name w:val="heading 2"/>
    <w:basedOn w:val="Normal"/>
    <w:next w:val="Normal"/>
    <w:link w:val="Heading2Char"/>
    <w:uiPriority w:val="99"/>
    <w:qFormat/>
    <w:pPr>
      <w:spacing w:before="440" w:after="60"/>
      <w:outlineLvl w:val="1"/>
    </w:pPr>
    <w:rPr>
      <w:rFonts w:ascii="Arial" w:hAnsi="Arial" w:cs="Arial"/>
      <w:b/>
      <w:bCs/>
      <w:sz w:val="28"/>
      <w:szCs w:val="28"/>
    </w:rPr>
  </w:style>
  <w:style w:type="paragraph" w:styleId="Heading3">
    <w:name w:val="heading 3"/>
    <w:basedOn w:val="Normal"/>
    <w:next w:val="Normal"/>
    <w:link w:val="Heading3Char"/>
    <w:uiPriority w:val="99"/>
    <w:qFormat/>
    <w:pPr>
      <w:spacing w:before="440" w:after="60"/>
      <w:outlineLvl w:val="2"/>
    </w:pPr>
    <w:rPr>
      <w:rFonts w:ascii="Arial" w:hAnsi="Arial" w:cs="Arial"/>
      <w:b/>
      <w:bCs/>
    </w:rPr>
  </w:style>
  <w:style w:type="paragraph" w:styleId="Heading4">
    <w:name w:val="heading 4"/>
    <w:basedOn w:val="Normal"/>
    <w:next w:val="Normal"/>
    <w:link w:val="Heading4Char"/>
    <w:uiPriority w:val="99"/>
    <w:qFormat/>
    <w:pPr>
      <w:spacing w:before="440" w:after="60"/>
      <w:outlineLvl w:val="3"/>
    </w:pPr>
    <w:rPr>
      <w:rFonts w:ascii="Arial" w:hAnsi="Arial" w:cs="Arial"/>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locked/>
    <w:rPr>
      <w:rFonts w:ascii="Calibri Light" w:hAnsi="Calibri Light" w:cs="Times New Roman"/>
      <w:b/>
      <w:kern w:val="32"/>
      <w:sz w:val="32"/>
    </w:rPr>
  </w:style>
  <w:style w:type="character" w:customStyle="1" w:styleId="Heading2Char">
    <w:name w:val="Heading 2 Char"/>
    <w:basedOn w:val="DefaultParagraphFont"/>
    <w:link w:val="Heading2"/>
    <w:uiPriority w:val="9"/>
    <w:semiHidden/>
    <w:locked/>
    <w:rPr>
      <w:rFonts w:ascii="Calibri Light" w:hAnsi="Calibri Light" w:cs="Times New Roman"/>
      <w:b/>
      <w:i/>
      <w:sz w:val="28"/>
    </w:rPr>
  </w:style>
  <w:style w:type="character" w:customStyle="1" w:styleId="Heading3Char">
    <w:name w:val="Heading 3 Char"/>
    <w:basedOn w:val="DefaultParagraphFont"/>
    <w:link w:val="Heading3"/>
    <w:uiPriority w:val="9"/>
    <w:semiHidden/>
    <w:locked/>
    <w:rPr>
      <w:rFonts w:ascii="Calibri Light" w:hAnsi="Calibri Light" w:cs="Times New Roman"/>
      <w:b/>
      <w:sz w:val="26"/>
    </w:rPr>
  </w:style>
  <w:style w:type="character" w:customStyle="1" w:styleId="Heading4Char">
    <w:name w:val="Heading 4 Char"/>
    <w:basedOn w:val="DefaultParagraphFont"/>
    <w:link w:val="Heading4"/>
    <w:uiPriority w:val="9"/>
    <w:semiHidden/>
    <w:locked/>
    <w:rPr>
      <w:rFonts w:cs="Times New Roman"/>
      <w:b/>
      <w:sz w:val="28"/>
    </w:rPr>
  </w:style>
  <w:style w:type="paragraph" w:customStyle="1" w:styleId="Contents1">
    <w:name w:val="Contents 1"/>
    <w:basedOn w:val="Normal"/>
    <w:next w:val="Normal"/>
    <w:pPr>
      <w:ind w:left="720" w:hanging="431"/>
    </w:pPr>
  </w:style>
  <w:style w:type="paragraph" w:customStyle="1" w:styleId="Contents2">
    <w:name w:val="Contents 2"/>
    <w:basedOn w:val="Normal"/>
    <w:next w:val="Normal"/>
    <w:uiPriority w:val="99"/>
    <w:pPr>
      <w:ind w:left="1440" w:hanging="431"/>
    </w:pPr>
  </w:style>
  <w:style w:type="paragraph" w:customStyle="1" w:styleId="Contents3">
    <w:name w:val="Contents 3"/>
    <w:basedOn w:val="Normal"/>
    <w:next w:val="Normal"/>
    <w:uiPriority w:val="99"/>
    <w:pPr>
      <w:ind w:left="2160" w:hanging="431"/>
    </w:pPr>
  </w:style>
  <w:style w:type="paragraph" w:customStyle="1" w:styleId="LowerRomanList">
    <w:name w:val="Lower Roman List"/>
    <w:basedOn w:val="Normal"/>
    <w:uiPriority w:val="99"/>
    <w:pPr>
      <w:ind w:left="720" w:hanging="431"/>
    </w:pPr>
  </w:style>
  <w:style w:type="paragraph" w:customStyle="1" w:styleId="NumberedHeading1">
    <w:name w:val="Numbered Heading 1"/>
    <w:basedOn w:val="Heading1"/>
    <w:next w:val="Normal"/>
    <w:uiPriority w:val="99"/>
    <w:pPr>
      <w:tabs>
        <w:tab w:val="left" w:pos="431"/>
      </w:tabs>
      <w:spacing w:before="0" w:after="0"/>
      <w:outlineLvl w:val="9"/>
    </w:pPr>
    <w:rPr>
      <w:rFonts w:ascii="Times New Roman" w:hAnsi="Times New Roman" w:cs="Times New Roman"/>
      <w:b w:val="0"/>
      <w:bCs w:val="0"/>
      <w:sz w:val="24"/>
      <w:szCs w:val="24"/>
    </w:rPr>
  </w:style>
  <w:style w:type="paragraph" w:customStyle="1" w:styleId="NumberedHeading2">
    <w:name w:val="Numbered Heading 2"/>
    <w:basedOn w:val="Heading2"/>
    <w:next w:val="Normal"/>
    <w:uiPriority w:val="99"/>
    <w:pPr>
      <w:tabs>
        <w:tab w:val="left" w:pos="431"/>
      </w:tabs>
      <w:spacing w:before="0" w:after="0"/>
      <w:outlineLvl w:val="9"/>
    </w:pPr>
    <w:rPr>
      <w:rFonts w:ascii="Times New Roman" w:hAnsi="Times New Roman" w:cs="Times New Roman"/>
      <w:b w:val="0"/>
      <w:bCs w:val="0"/>
      <w:sz w:val="24"/>
      <w:szCs w:val="24"/>
    </w:rPr>
  </w:style>
  <w:style w:type="paragraph" w:customStyle="1" w:styleId="SquareList">
    <w:name w:val="Square List"/>
    <w:uiPriority w:val="99"/>
    <w:pPr>
      <w:widowControl w:val="0"/>
      <w:autoSpaceDE w:val="0"/>
      <w:autoSpaceDN w:val="0"/>
      <w:adjustRightInd w:val="0"/>
      <w:ind w:left="720" w:hanging="431"/>
    </w:pPr>
    <w:rPr>
      <w:rFonts w:ascii="Times New Roman" w:hAnsi="Times New Roman" w:cs="Times New Roman"/>
      <w:sz w:val="24"/>
      <w:szCs w:val="24"/>
    </w:rPr>
  </w:style>
  <w:style w:type="paragraph" w:styleId="EndnoteText">
    <w:name w:val="endnote text"/>
    <w:basedOn w:val="Normal"/>
    <w:link w:val="EndnoteTextChar"/>
    <w:uiPriority w:val="99"/>
    <w:semiHidden/>
    <w:unhideWhenUsed/>
    <w:pPr>
      <w:widowControl/>
      <w:autoSpaceDE/>
      <w:autoSpaceDN/>
      <w:adjustRightInd/>
      <w:spacing w:after="160" w:line="259" w:lineRule="auto"/>
    </w:pPr>
    <w:rPr>
      <w:rFonts w:ascii="Calibri" w:hAnsi="Calibri"/>
      <w:sz w:val="20"/>
      <w:szCs w:val="20"/>
    </w:rPr>
  </w:style>
  <w:style w:type="character" w:customStyle="1" w:styleId="EndnoteTextChar">
    <w:name w:val="Endnote Text Char"/>
    <w:basedOn w:val="DefaultParagraphFont"/>
    <w:link w:val="EndnoteText"/>
    <w:uiPriority w:val="99"/>
    <w:semiHidden/>
    <w:locked/>
    <w:rPr>
      <w:rFonts w:cs="Times New Roman"/>
      <w:sz w:val="20"/>
    </w:rPr>
  </w:style>
  <w:style w:type="paragraph" w:customStyle="1" w:styleId="Contents4">
    <w:name w:val="Contents 4"/>
    <w:basedOn w:val="Normal"/>
    <w:next w:val="Normal"/>
    <w:uiPriority w:val="99"/>
    <w:pPr>
      <w:ind w:left="2880" w:hanging="431"/>
    </w:pPr>
  </w:style>
  <w:style w:type="paragraph" w:customStyle="1" w:styleId="DiamondList">
    <w:name w:val="Diamond List"/>
    <w:uiPriority w:val="99"/>
    <w:pPr>
      <w:widowControl w:val="0"/>
      <w:autoSpaceDE w:val="0"/>
      <w:autoSpaceDN w:val="0"/>
      <w:adjustRightInd w:val="0"/>
      <w:ind w:left="720" w:hanging="431"/>
    </w:pPr>
    <w:rPr>
      <w:rFonts w:ascii="Times New Roman" w:hAnsi="Times New Roman" w:cs="Times New Roman"/>
      <w:sz w:val="24"/>
      <w:szCs w:val="24"/>
    </w:rPr>
  </w:style>
  <w:style w:type="paragraph" w:customStyle="1" w:styleId="NumberedList">
    <w:name w:val="Numbered List"/>
    <w:uiPriority w:val="99"/>
    <w:pPr>
      <w:widowControl w:val="0"/>
      <w:autoSpaceDE w:val="0"/>
      <w:autoSpaceDN w:val="0"/>
      <w:adjustRightInd w:val="0"/>
      <w:ind w:left="720" w:hanging="431"/>
    </w:pPr>
    <w:rPr>
      <w:rFonts w:ascii="Times New Roman" w:hAnsi="Times New Roman" w:cs="Times New Roman"/>
      <w:sz w:val="24"/>
      <w:szCs w:val="24"/>
    </w:rPr>
  </w:style>
  <w:style w:type="character" w:customStyle="1" w:styleId="Reference">
    <w:name w:val="Reference"/>
    <w:uiPriority w:val="99"/>
    <w:rPr>
      <w:sz w:val="20"/>
    </w:rPr>
  </w:style>
  <w:style w:type="paragraph" w:customStyle="1" w:styleId="TriangleList">
    <w:name w:val="Triangle List"/>
    <w:uiPriority w:val="99"/>
    <w:pPr>
      <w:widowControl w:val="0"/>
      <w:autoSpaceDE w:val="0"/>
      <w:autoSpaceDN w:val="0"/>
      <w:adjustRightInd w:val="0"/>
      <w:ind w:left="720" w:hanging="431"/>
    </w:pPr>
    <w:rPr>
      <w:rFonts w:ascii="Times New Roman" w:hAnsi="Times New Roman" w:cs="Times New Roman"/>
      <w:sz w:val="24"/>
      <w:szCs w:val="24"/>
    </w:rPr>
  </w:style>
  <w:style w:type="paragraph" w:customStyle="1" w:styleId="NumberedHeading3">
    <w:name w:val="Numbered Heading 3"/>
    <w:basedOn w:val="Heading3"/>
    <w:next w:val="Normal"/>
    <w:uiPriority w:val="99"/>
    <w:pPr>
      <w:tabs>
        <w:tab w:val="left" w:pos="431"/>
      </w:tabs>
      <w:spacing w:before="0" w:after="0"/>
      <w:outlineLvl w:val="9"/>
    </w:pPr>
    <w:rPr>
      <w:rFonts w:ascii="Times New Roman" w:hAnsi="Times New Roman" w:cs="Times New Roman"/>
      <w:b w:val="0"/>
      <w:bCs w:val="0"/>
    </w:rPr>
  </w:style>
  <w:style w:type="paragraph" w:customStyle="1" w:styleId="DashedList">
    <w:name w:val="Dashed List"/>
    <w:uiPriority w:val="99"/>
    <w:pPr>
      <w:widowControl w:val="0"/>
      <w:autoSpaceDE w:val="0"/>
      <w:autoSpaceDN w:val="0"/>
      <w:adjustRightInd w:val="0"/>
      <w:ind w:left="720" w:hanging="431"/>
    </w:pPr>
    <w:rPr>
      <w:rFonts w:ascii="Times New Roman" w:hAnsi="Times New Roman" w:cs="Times New Roman"/>
      <w:sz w:val="24"/>
      <w:szCs w:val="24"/>
    </w:rPr>
  </w:style>
  <w:style w:type="paragraph" w:customStyle="1" w:styleId="UpperRomanList">
    <w:name w:val="Upper Roman List"/>
    <w:basedOn w:val="NumberedList"/>
    <w:uiPriority w:val="99"/>
  </w:style>
  <w:style w:type="paragraph" w:customStyle="1" w:styleId="HeartList">
    <w:name w:val="Heart List"/>
    <w:uiPriority w:val="99"/>
    <w:pPr>
      <w:widowControl w:val="0"/>
      <w:autoSpaceDE w:val="0"/>
      <w:autoSpaceDN w:val="0"/>
      <w:adjustRightInd w:val="0"/>
      <w:ind w:left="720" w:hanging="431"/>
    </w:pPr>
    <w:rPr>
      <w:rFonts w:ascii="Times New Roman" w:hAnsi="Times New Roman" w:cs="Times New Roman"/>
      <w:sz w:val="24"/>
      <w:szCs w:val="24"/>
    </w:rPr>
  </w:style>
  <w:style w:type="paragraph" w:customStyle="1" w:styleId="BoxList">
    <w:name w:val="Box List"/>
    <w:uiPriority w:val="99"/>
    <w:pPr>
      <w:widowControl w:val="0"/>
      <w:autoSpaceDE w:val="0"/>
      <w:autoSpaceDN w:val="0"/>
      <w:adjustRightInd w:val="0"/>
      <w:ind w:left="720" w:hanging="431"/>
    </w:pPr>
    <w:rPr>
      <w:rFonts w:ascii="Times New Roman" w:hAnsi="Times New Roman" w:cs="Times New Roman"/>
      <w:sz w:val="24"/>
      <w:szCs w:val="24"/>
    </w:rPr>
  </w:style>
  <w:style w:type="paragraph" w:customStyle="1" w:styleId="UpperCaseList">
    <w:name w:val="Upper Case List"/>
    <w:basedOn w:val="NumberedList"/>
    <w:uiPriority w:val="99"/>
  </w:style>
  <w:style w:type="paragraph" w:customStyle="1" w:styleId="BulletList">
    <w:name w:val="Bullet List"/>
    <w:uiPriority w:val="99"/>
    <w:pPr>
      <w:widowControl w:val="0"/>
      <w:autoSpaceDE w:val="0"/>
      <w:autoSpaceDN w:val="0"/>
      <w:adjustRightInd w:val="0"/>
      <w:ind w:left="720" w:hanging="431"/>
    </w:pPr>
    <w:rPr>
      <w:rFonts w:ascii="Times New Roman" w:hAnsi="Times New Roman" w:cs="Times New Roman"/>
      <w:sz w:val="24"/>
      <w:szCs w:val="24"/>
    </w:rPr>
  </w:style>
  <w:style w:type="paragraph" w:customStyle="1" w:styleId="HandList">
    <w:name w:val="Hand List"/>
    <w:uiPriority w:val="99"/>
    <w:pPr>
      <w:widowControl w:val="0"/>
      <w:autoSpaceDE w:val="0"/>
      <w:autoSpaceDN w:val="0"/>
      <w:adjustRightInd w:val="0"/>
      <w:ind w:left="720" w:hanging="431"/>
    </w:pPr>
    <w:rPr>
      <w:rFonts w:ascii="Times New Roman" w:hAnsi="Times New Roman" w:cs="Times New Roman"/>
      <w:sz w:val="24"/>
      <w:szCs w:val="24"/>
    </w:rPr>
  </w:style>
  <w:style w:type="paragraph" w:styleId="FootnoteText">
    <w:name w:val="footnote text"/>
    <w:basedOn w:val="Normal"/>
    <w:link w:val="FootnoteTextChar"/>
    <w:uiPriority w:val="99"/>
    <w:semiHidden/>
    <w:unhideWhenUsed/>
    <w:pPr>
      <w:widowControl/>
      <w:autoSpaceDE/>
      <w:autoSpaceDN/>
      <w:adjustRightInd/>
      <w:spacing w:after="160" w:line="259" w:lineRule="auto"/>
    </w:pPr>
    <w:rPr>
      <w:rFonts w:ascii="Calibri" w:hAnsi="Calibri"/>
      <w:sz w:val="20"/>
      <w:szCs w:val="20"/>
    </w:rPr>
  </w:style>
  <w:style w:type="character" w:customStyle="1" w:styleId="FootnoteTextChar">
    <w:name w:val="Footnote Text Char"/>
    <w:basedOn w:val="DefaultParagraphFont"/>
    <w:link w:val="FootnoteText"/>
    <w:uiPriority w:val="99"/>
    <w:semiHidden/>
    <w:locked/>
    <w:rPr>
      <w:rFonts w:cs="Times New Roman"/>
      <w:sz w:val="20"/>
    </w:rPr>
  </w:style>
  <w:style w:type="paragraph" w:customStyle="1" w:styleId="ContentsHeader">
    <w:name w:val="Contents Header"/>
    <w:basedOn w:val="Normal"/>
    <w:next w:val="Normal"/>
    <w:uiPriority w:val="99"/>
    <w:pPr>
      <w:spacing w:before="240" w:after="120"/>
      <w:jc w:val="center"/>
    </w:pPr>
    <w:rPr>
      <w:rFonts w:ascii="Arial" w:hAnsi="Arial" w:cs="Arial"/>
      <w:b/>
      <w:bCs/>
      <w:sz w:val="32"/>
      <w:szCs w:val="32"/>
    </w:rPr>
  </w:style>
  <w:style w:type="paragraph" w:customStyle="1" w:styleId="TickList">
    <w:name w:val="Tick List"/>
    <w:uiPriority w:val="99"/>
    <w:pPr>
      <w:widowControl w:val="0"/>
      <w:autoSpaceDE w:val="0"/>
      <w:autoSpaceDN w:val="0"/>
      <w:adjustRightInd w:val="0"/>
      <w:ind w:left="720" w:hanging="431"/>
    </w:pPr>
    <w:rPr>
      <w:rFonts w:ascii="Times New Roman" w:hAnsi="Times New Roman" w:cs="Times New Roman"/>
      <w:sz w:val="24"/>
      <w:szCs w:val="24"/>
    </w:rPr>
  </w:style>
  <w:style w:type="paragraph" w:customStyle="1" w:styleId="LowerCaseList">
    <w:name w:val="Lower Case List"/>
    <w:basedOn w:val="NumberedList"/>
    <w:uiPriority w:val="99"/>
  </w:style>
  <w:style w:type="paragraph" w:styleId="BlockText">
    <w:name w:val="Block Text"/>
    <w:basedOn w:val="Normal"/>
    <w:uiPriority w:val="99"/>
    <w:pPr>
      <w:spacing w:after="120"/>
      <w:ind w:left="1440" w:right="1440"/>
    </w:pPr>
  </w:style>
  <w:style w:type="paragraph" w:styleId="PlainText">
    <w:name w:val="Plain Text"/>
    <w:basedOn w:val="Normal"/>
    <w:link w:val="PlainTextChar"/>
    <w:uiPriority w:val="99"/>
    <w:rPr>
      <w:rFonts w:ascii="Courier New" w:hAnsi="Courier New" w:cs="Courier New"/>
    </w:rPr>
  </w:style>
  <w:style w:type="character" w:customStyle="1" w:styleId="PlainTextChar">
    <w:name w:val="Plain Text Char"/>
    <w:basedOn w:val="DefaultParagraphFont"/>
    <w:link w:val="PlainText"/>
    <w:uiPriority w:val="99"/>
    <w:semiHidden/>
    <w:locked/>
    <w:rPr>
      <w:rFonts w:ascii="Courier New" w:hAnsi="Courier New" w:cs="Times New Roman"/>
      <w:sz w:val="20"/>
    </w:rPr>
  </w:style>
  <w:style w:type="paragraph" w:customStyle="1" w:styleId="SectionHeading">
    <w:name w:val="Section Heading"/>
    <w:basedOn w:val="NumberedHeading1"/>
    <w:next w:val="Normal"/>
    <w:uiPriority w:val="99"/>
    <w:pPr>
      <w:tabs>
        <w:tab w:val="clear" w:pos="431"/>
        <w:tab w:val="left" w:pos="1584"/>
      </w:tabs>
    </w:pPr>
  </w:style>
  <w:style w:type="paragraph" w:customStyle="1" w:styleId="ImpliesList">
    <w:name w:val="Implies List"/>
    <w:uiPriority w:val="99"/>
    <w:pPr>
      <w:widowControl w:val="0"/>
      <w:autoSpaceDE w:val="0"/>
      <w:autoSpaceDN w:val="0"/>
      <w:adjustRightInd w:val="0"/>
      <w:ind w:left="720" w:hanging="431"/>
    </w:pPr>
    <w:rPr>
      <w:rFonts w:ascii="Times New Roman" w:hAnsi="Times New Roman" w:cs="Times New Roman"/>
      <w:sz w:val="24"/>
      <w:szCs w:val="24"/>
    </w:rPr>
  </w:style>
  <w:style w:type="paragraph" w:customStyle="1" w:styleId="StarList">
    <w:name w:val="Star List"/>
    <w:uiPriority w:val="99"/>
    <w:pPr>
      <w:widowControl w:val="0"/>
      <w:autoSpaceDE w:val="0"/>
      <w:autoSpaceDN w:val="0"/>
      <w:adjustRightInd w:val="0"/>
      <w:ind w:left="720" w:hanging="431"/>
    </w:pPr>
    <w:rPr>
      <w:rFonts w:ascii="Times New Roman" w:hAnsi="Times New Roman" w:cs="Times New Roman"/>
      <w:sz w:val="24"/>
      <w:szCs w:val="24"/>
    </w:rPr>
  </w:style>
  <w:style w:type="character" w:customStyle="1" w:styleId="Reference1">
    <w:name w:val="Reference1"/>
    <w:uiPriority w:val="99"/>
    <w:rPr>
      <w:sz w:val="20"/>
    </w:rPr>
  </w:style>
  <w:style w:type="paragraph" w:customStyle="1" w:styleId="ChapterHeading">
    <w:name w:val="Chapter Heading"/>
    <w:basedOn w:val="NumberedHeading1"/>
    <w:next w:val="Normal"/>
    <w:uiPriority w:val="99"/>
    <w:pPr>
      <w:tabs>
        <w:tab w:val="clear" w:pos="431"/>
        <w:tab w:val="left" w:pos="1584"/>
      </w:tabs>
    </w:pPr>
  </w:style>
  <w:style w:type="paragraph" w:styleId="ListParagraph">
    <w:name w:val="List Paragraph"/>
    <w:basedOn w:val="Normal"/>
    <w:uiPriority w:val="34"/>
    <w:qFormat/>
    <w:rsid w:val="004427F3"/>
    <w:pPr>
      <w:ind w:left="720"/>
    </w:pPr>
  </w:style>
  <w:style w:type="paragraph" w:styleId="Header">
    <w:name w:val="header"/>
    <w:basedOn w:val="Normal"/>
    <w:link w:val="HeaderChar"/>
    <w:uiPriority w:val="99"/>
    <w:unhideWhenUsed/>
    <w:rsid w:val="00D67729"/>
    <w:pPr>
      <w:tabs>
        <w:tab w:val="center" w:pos="4513"/>
        <w:tab w:val="right" w:pos="9026"/>
      </w:tabs>
    </w:pPr>
  </w:style>
  <w:style w:type="character" w:customStyle="1" w:styleId="HeaderChar">
    <w:name w:val="Header Char"/>
    <w:basedOn w:val="DefaultParagraphFont"/>
    <w:link w:val="Header"/>
    <w:uiPriority w:val="99"/>
    <w:locked/>
    <w:rsid w:val="00D67729"/>
    <w:rPr>
      <w:rFonts w:ascii="Times New Roman" w:hAnsi="Times New Roman" w:cs="Times New Roman"/>
      <w:sz w:val="24"/>
    </w:rPr>
  </w:style>
  <w:style w:type="paragraph" w:styleId="Footer">
    <w:name w:val="footer"/>
    <w:basedOn w:val="Normal"/>
    <w:link w:val="FooterChar"/>
    <w:uiPriority w:val="99"/>
    <w:unhideWhenUsed/>
    <w:rsid w:val="00D67729"/>
    <w:pPr>
      <w:tabs>
        <w:tab w:val="center" w:pos="4513"/>
        <w:tab w:val="right" w:pos="9026"/>
      </w:tabs>
    </w:pPr>
  </w:style>
  <w:style w:type="character" w:customStyle="1" w:styleId="FooterChar">
    <w:name w:val="Footer Char"/>
    <w:basedOn w:val="DefaultParagraphFont"/>
    <w:link w:val="Footer"/>
    <w:uiPriority w:val="99"/>
    <w:locked/>
    <w:rsid w:val="00D67729"/>
    <w:rPr>
      <w:rFonts w:ascii="Times New Roman" w:hAnsi="Times New Roman" w:cs="Times New Roman"/>
      <w:sz w:val="24"/>
    </w:rPr>
  </w:style>
  <w:style w:type="character" w:styleId="Hyperlink">
    <w:name w:val="Hyperlink"/>
    <w:basedOn w:val="DefaultParagraphFont"/>
    <w:uiPriority w:val="99"/>
    <w:unhideWhenUsed/>
    <w:rsid w:val="00C66C99"/>
    <w:rPr>
      <w:rFonts w:cs="Times New Roman"/>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file:///C:\Users\Maurice\Documents\Legal\CIVIL\swp%20civil%20case\garrotte.jp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1490</Words>
  <Characters>8493</Characters>
  <Application>Microsoft Office Word</Application>
  <DocSecurity>0</DocSecurity>
  <Lines>70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9964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Maurice Kirk</dc:creator>
  <cp:keywords/>
  <dc:description/>
  <cp:lastModifiedBy>Maurice Kirk</cp:lastModifiedBy>
  <cp:revision>2</cp:revision>
  <dcterms:created xsi:type="dcterms:W3CDTF">2017-10-01T15:36:00Z</dcterms:created>
  <dcterms:modified xsi:type="dcterms:W3CDTF">2017-10-01T15:36:00Z</dcterms:modified>
</cp:coreProperties>
</file>