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408D" w:rsidRDefault="001B408D">
      <w:pPr>
        <w:widowControl/>
      </w:pPr>
      <w:bookmarkStart w:id="0" w:name="_GoBack"/>
      <w:bookmarkEnd w:id="0"/>
      <w:r>
        <w:t xml:space="preserve">DRAFT </w:t>
      </w:r>
    </w:p>
    <w:p w:rsidR="001B408D" w:rsidRDefault="001B408D">
      <w:pPr>
        <w:widowControl/>
      </w:pPr>
    </w:p>
    <w:p w:rsidR="00085E02" w:rsidRDefault="00085E02">
      <w:pPr>
        <w:widowControl/>
      </w:pPr>
      <w:r>
        <w:t>1st June 2016</w:t>
      </w:r>
    </w:p>
    <w:p w:rsidR="00085E02" w:rsidRDefault="00085E02">
      <w:pPr>
        <w:widowControl/>
        <w:rPr>
          <w:b/>
          <w:u w:val="single"/>
        </w:rPr>
      </w:pPr>
      <w:r>
        <w:rPr>
          <w:b/>
          <w:u w:val="single"/>
        </w:rPr>
        <w:t>Endangering Safety of Aircraft &amp; related indictable only offences pertaining to incident on 4th July 1999, disclosed during proceedings in the Cardiff County Court recently.</w:t>
      </w:r>
    </w:p>
    <w:p w:rsidR="00085E02" w:rsidRDefault="00085E02">
      <w:pPr>
        <w:widowControl/>
      </w:pPr>
    </w:p>
    <w:p w:rsidR="00085E02" w:rsidRDefault="00085E02">
      <w:pPr>
        <w:widowControl/>
        <w:rPr>
          <w:b/>
        </w:rPr>
      </w:pPr>
      <w:r>
        <w:rPr>
          <w:b/>
        </w:rPr>
        <w:t>Delay</w:t>
      </w:r>
    </w:p>
    <w:p w:rsidR="00085E02" w:rsidRDefault="004324A1">
      <w:pPr>
        <w:widowControl/>
        <w:rPr>
          <w:sz w:val="22"/>
        </w:rPr>
      </w:pPr>
      <w:r>
        <w:rPr>
          <w:sz w:val="22"/>
        </w:rPr>
        <w:t>Principle</w:t>
      </w:r>
      <w:r w:rsidR="00085E02">
        <w:rPr>
          <w:sz w:val="22"/>
        </w:rPr>
        <w:t xml:space="preserve"> reason for delay is concealment of said </w:t>
      </w:r>
      <w:r>
        <w:rPr>
          <w:sz w:val="22"/>
        </w:rPr>
        <w:t>commission</w:t>
      </w:r>
      <w:r w:rsidR="00085E02">
        <w:rPr>
          <w:sz w:val="22"/>
        </w:rPr>
        <w:t xml:space="preserve"> of offences (</w:t>
      </w:r>
      <w:r w:rsidR="00085E02">
        <w:rPr>
          <w:b/>
          <w:i/>
          <w:sz w:val="22"/>
        </w:rPr>
        <w:t>Rafique</w:t>
      </w:r>
      <w:r w:rsidR="00085E02">
        <w:rPr>
          <w:b/>
          <w:sz w:val="22"/>
        </w:rPr>
        <w:t xml:space="preserve"> [1993] QB CA</w:t>
      </w:r>
      <w:r w:rsidR="00085E02">
        <w:rPr>
          <w:sz w:val="22"/>
        </w:rPr>
        <w:t>), concealment of evidence, destruction of evidence (public records) and nefarious other offences akin to such activities: namely:  conspiracy, attempts, recklessness or negligence (</w:t>
      </w:r>
      <w:r>
        <w:rPr>
          <w:sz w:val="22"/>
        </w:rPr>
        <w:t>culpable</w:t>
      </w:r>
      <w:r w:rsidR="00085E02">
        <w:rPr>
          <w:sz w:val="22"/>
        </w:rPr>
        <w:t xml:space="preserve"> under the relevant legislation due to nature of circumstances - air navigation safety), wilfully perverting, or attempting to, the course of justice (&amp; </w:t>
      </w:r>
      <w:r>
        <w:rPr>
          <w:sz w:val="22"/>
        </w:rPr>
        <w:t>conspiracy</w:t>
      </w:r>
      <w:r w:rsidR="00085E02">
        <w:rPr>
          <w:sz w:val="22"/>
        </w:rPr>
        <w:t xml:space="preserve"> to), misconduct in a public office (&amp; conspiracy to), </w:t>
      </w:r>
      <w:r w:rsidR="00085E02">
        <w:rPr>
          <w:color w:val="FF0000"/>
          <w:sz w:val="22"/>
        </w:rPr>
        <w:t xml:space="preserve">, </w:t>
      </w:r>
      <w:r w:rsidR="00085E02">
        <w:rPr>
          <w:sz w:val="22"/>
        </w:rPr>
        <w:t xml:space="preserve">fabrication of evidence, </w:t>
      </w:r>
      <w:r>
        <w:rPr>
          <w:sz w:val="22"/>
        </w:rPr>
        <w:t>suborning</w:t>
      </w:r>
      <w:r w:rsidR="00085E02">
        <w:rPr>
          <w:sz w:val="22"/>
        </w:rPr>
        <w:t xml:space="preserve"> perjury and perjury.   per </w:t>
      </w:r>
      <w:r w:rsidR="00085E02">
        <w:rPr>
          <w:b/>
          <w:i/>
          <w:sz w:val="22"/>
        </w:rPr>
        <w:t>Hillsborough</w:t>
      </w:r>
      <w:r w:rsidR="00085E02">
        <w:rPr>
          <w:b/>
          <w:sz w:val="22"/>
        </w:rPr>
        <w:t xml:space="preserve"> [2016], </w:t>
      </w:r>
      <w:r w:rsidR="00085E02">
        <w:rPr>
          <w:b/>
          <w:i/>
          <w:sz w:val="22"/>
        </w:rPr>
        <w:t>Maxwell</w:t>
      </w:r>
      <w:r w:rsidR="00085E02">
        <w:rPr>
          <w:b/>
          <w:sz w:val="22"/>
        </w:rPr>
        <w:t xml:space="preserve"> [2011] SC, </w:t>
      </w:r>
      <w:r w:rsidR="00085E02">
        <w:rPr>
          <w:b/>
          <w:i/>
          <w:sz w:val="22"/>
        </w:rPr>
        <w:t>R vWallis</w:t>
      </w:r>
      <w:r w:rsidR="00085E02">
        <w:rPr>
          <w:b/>
          <w:sz w:val="22"/>
        </w:rPr>
        <w:t xml:space="preserve"> [2014], </w:t>
      </w:r>
      <w:r w:rsidR="00085E02">
        <w:rPr>
          <w:b/>
          <w:i/>
          <w:sz w:val="22"/>
        </w:rPr>
        <w:t>R v Dytham</w:t>
      </w:r>
      <w:r w:rsidR="00085E02">
        <w:rPr>
          <w:b/>
          <w:sz w:val="22"/>
        </w:rPr>
        <w:t xml:space="preserve"> [1979] 3 WLR CA Widgery CJ,  </w:t>
      </w:r>
      <w:r w:rsidR="00085E02">
        <w:rPr>
          <w:b/>
          <w:i/>
          <w:sz w:val="22"/>
        </w:rPr>
        <w:t>R. v. McIlkenny, Hunter, Walker, Callaghan, Hill and Power</w:t>
      </w:r>
      <w:r w:rsidR="00085E02">
        <w:rPr>
          <w:b/>
          <w:sz w:val="22"/>
        </w:rPr>
        <w:t xml:space="preserve"> (1991) 93 Crim. App. R. 287, </w:t>
      </w:r>
      <w:r w:rsidR="00085E02">
        <w:rPr>
          <w:b/>
          <w:i/>
          <w:sz w:val="22"/>
        </w:rPr>
        <w:t>R. v. Richardson, Conlon, Armstrong and Hill</w:t>
      </w:r>
      <w:r w:rsidR="00085E02">
        <w:rPr>
          <w:b/>
          <w:sz w:val="22"/>
        </w:rPr>
        <w:t xml:space="preserve"> EWCA Crim : “</w:t>
      </w:r>
      <w:r w:rsidR="00085E02">
        <w:rPr>
          <w:i/>
          <w:sz w:val="22"/>
        </w:rPr>
        <w:t>with a view to criminal proceedings being brought. We earnestly express the hope that nothing will be allowed to stand in the way of a speedy progress of those proceedings.</w:t>
      </w:r>
      <w:r w:rsidR="00085E02">
        <w:rPr>
          <w:sz w:val="22"/>
        </w:rPr>
        <w:t xml:space="preserve">” </w:t>
      </w:r>
      <w:r w:rsidR="00085E02">
        <w:rPr>
          <w:b/>
          <w:sz w:val="22"/>
        </w:rPr>
        <w:t>Chief Justice</w:t>
      </w:r>
      <w:r w:rsidR="00085E02">
        <w:rPr>
          <w:sz w:val="22"/>
        </w:rPr>
        <w:t xml:space="preserve"> </w:t>
      </w:r>
      <w:r w:rsidR="00085E02">
        <w:rPr>
          <w:b/>
          <w:sz w:val="22"/>
        </w:rPr>
        <w:t xml:space="preserve">Lane.   </w:t>
      </w:r>
    </w:p>
    <w:p w:rsidR="00085E02" w:rsidRDefault="00085E02">
      <w:pPr>
        <w:widowControl/>
        <w:rPr>
          <w:b/>
          <w:sz w:val="22"/>
        </w:rPr>
      </w:pPr>
      <w:r>
        <w:rPr>
          <w:b/>
          <w:sz w:val="22"/>
        </w:rPr>
        <w:t>No relevant delay exists due to the quantity &amp; quality of the potential charges, the gravamen of which, &amp; by who, vitiates any argument against proceeding as the public interest demands that they should under such circumstances.</w:t>
      </w:r>
    </w:p>
    <w:p w:rsidR="00085E02" w:rsidRDefault="00085E02">
      <w:pPr>
        <w:widowControl/>
        <w:rPr>
          <w:b/>
          <w:sz w:val="22"/>
        </w:rPr>
      </w:pPr>
    </w:p>
    <w:p w:rsidR="00085E02" w:rsidRDefault="00732A87">
      <w:pPr>
        <w:widowControl/>
        <w:rPr>
          <w:b/>
          <w:sz w:val="22"/>
        </w:rPr>
      </w:pPr>
      <w:r>
        <w:rPr>
          <w:b/>
          <w:sz w:val="22"/>
        </w:rPr>
        <w:t>Additionally,</w:t>
      </w:r>
      <w:r w:rsidR="00085E02">
        <w:rPr>
          <w:b/>
          <w:sz w:val="22"/>
        </w:rPr>
        <w:t xml:space="preserve"> and </w:t>
      </w:r>
      <w:r w:rsidR="004324A1">
        <w:rPr>
          <w:b/>
          <w:sz w:val="22"/>
        </w:rPr>
        <w:t>concomitant</w:t>
      </w:r>
      <w:r w:rsidR="00085E02">
        <w:rPr>
          <w:b/>
          <w:sz w:val="22"/>
        </w:rPr>
        <w:t xml:space="preserve">: </w:t>
      </w:r>
      <w:r w:rsidR="00085E02">
        <w:rPr>
          <w:sz w:val="22"/>
        </w:rPr>
        <w:t xml:space="preserve"> Breach of duties </w:t>
      </w:r>
      <w:r>
        <w:rPr>
          <w:sz w:val="22"/>
        </w:rPr>
        <w:t>prescribed</w:t>
      </w:r>
      <w:r w:rsidR="00085E02">
        <w:rPr>
          <w:sz w:val="22"/>
        </w:rPr>
        <w:t xml:space="preserve"> by Criminal Procedure &amp; Investigation Act 1996, ECHR/ HRA 1998 Articles 2 &amp; 8, section 6, </w:t>
      </w:r>
      <w:r>
        <w:rPr>
          <w:sz w:val="22"/>
        </w:rPr>
        <w:t>requiring</w:t>
      </w:r>
      <w:r w:rsidR="00085E02">
        <w:rPr>
          <w:sz w:val="22"/>
        </w:rPr>
        <w:t xml:space="preserve"> public body to be proactive in such investigation and obviation of such conduct. </w:t>
      </w:r>
      <w:r w:rsidR="00085E02">
        <w:rPr>
          <w:b/>
          <w:sz w:val="22"/>
        </w:rPr>
        <w:t>The listed offences and applicable statutes are not to be considered exhaustive.</w:t>
      </w:r>
    </w:p>
    <w:p w:rsidR="00085E02" w:rsidRDefault="00085E02">
      <w:pPr>
        <w:widowControl/>
        <w:rPr>
          <w:sz w:val="22"/>
        </w:rPr>
      </w:pPr>
    </w:p>
    <w:p w:rsidR="00085E02" w:rsidRDefault="00085E02">
      <w:pPr>
        <w:widowControl/>
        <w:rPr>
          <w:b/>
        </w:rPr>
      </w:pPr>
      <w:r>
        <w:rPr>
          <w:b/>
        </w:rPr>
        <w:t>Primary offences (to which the above offences relate to):</w:t>
      </w:r>
    </w:p>
    <w:p w:rsidR="00085E02" w:rsidRDefault="00085E02">
      <w:pPr>
        <w:widowControl/>
        <w:rPr>
          <w:sz w:val="22"/>
        </w:rPr>
      </w:pPr>
      <w:r>
        <w:rPr>
          <w:sz w:val="22"/>
        </w:rPr>
        <w:t xml:space="preserve">Conduct capable of amounting to an offence under </w:t>
      </w:r>
      <w:r w:rsidR="00732A87">
        <w:rPr>
          <w:sz w:val="22"/>
        </w:rPr>
        <w:t>statutory</w:t>
      </w:r>
      <w:r>
        <w:rPr>
          <w:sz w:val="22"/>
        </w:rPr>
        <w:t xml:space="preserve"> and common law, including</w:t>
      </w:r>
    </w:p>
    <w:p w:rsidR="00085E02" w:rsidRDefault="00085E02">
      <w:pPr>
        <w:widowControl/>
        <w:rPr>
          <w:sz w:val="22"/>
        </w:rPr>
      </w:pPr>
    </w:p>
    <w:p w:rsidR="00085E02" w:rsidRDefault="00085E02">
      <w:pPr>
        <w:pStyle w:val="BulletList"/>
        <w:widowControl/>
        <w:numPr>
          <w:ilvl w:val="0"/>
          <w:numId w:val="1"/>
        </w:numPr>
        <w:rPr>
          <w:sz w:val="22"/>
        </w:rPr>
      </w:pPr>
      <w:r>
        <w:rPr>
          <w:sz w:val="22"/>
        </w:rPr>
        <w:t xml:space="preserve">    the Aviation Security Act 1</w:t>
      </w:r>
      <w:r w:rsidR="00732A87">
        <w:rPr>
          <w:sz w:val="22"/>
        </w:rPr>
        <w:t xml:space="preserve">982 (Stones 7-5433 to 7-5436); </w:t>
      </w:r>
      <w:r>
        <w:rPr>
          <w:sz w:val="22"/>
        </w:rPr>
        <w:t>sections 2 thru 4, s21 &amp; s37.</w:t>
      </w:r>
    </w:p>
    <w:p w:rsidR="00085E02" w:rsidRDefault="00085E02">
      <w:pPr>
        <w:pStyle w:val="BulletList"/>
        <w:widowControl/>
        <w:numPr>
          <w:ilvl w:val="0"/>
          <w:numId w:val="1"/>
        </w:numPr>
        <w:rPr>
          <w:sz w:val="22"/>
        </w:rPr>
      </w:pPr>
      <w:r>
        <w:rPr>
          <w:sz w:val="22"/>
        </w:rPr>
        <w:t xml:space="preserve">    the Civil Avia</w:t>
      </w:r>
      <w:r w:rsidR="00732A87">
        <w:rPr>
          <w:sz w:val="22"/>
        </w:rPr>
        <w:t xml:space="preserve">tion Act 1982 (Stones 7-5370); </w:t>
      </w:r>
      <w:r>
        <w:rPr>
          <w:sz w:val="22"/>
        </w:rPr>
        <w:t>(Civil Aviation (Amendment) Act 1996); s92</w:t>
      </w:r>
    </w:p>
    <w:p w:rsidR="00085E02" w:rsidRDefault="00085E02">
      <w:pPr>
        <w:pStyle w:val="BulletList"/>
        <w:widowControl/>
        <w:numPr>
          <w:ilvl w:val="0"/>
          <w:numId w:val="1"/>
        </w:numPr>
        <w:rPr>
          <w:sz w:val="22"/>
        </w:rPr>
      </w:pPr>
      <w:r>
        <w:rPr>
          <w:sz w:val="22"/>
        </w:rPr>
        <w:t xml:space="preserve">    the Aviation and Maritime Security Act 1990 (Stones 7-6225 to 7-6267) and</w:t>
      </w:r>
    </w:p>
    <w:p w:rsidR="00085E02" w:rsidRDefault="00085E02">
      <w:pPr>
        <w:pStyle w:val="BulletList"/>
        <w:widowControl/>
        <w:numPr>
          <w:ilvl w:val="0"/>
          <w:numId w:val="1"/>
        </w:numPr>
        <w:rPr>
          <w:sz w:val="22"/>
        </w:rPr>
      </w:pPr>
      <w:r>
        <w:rPr>
          <w:sz w:val="22"/>
        </w:rPr>
        <w:t xml:space="preserve">    the Air Navigation Order 2005 (Stones 7-58</w:t>
      </w:r>
      <w:r w:rsidR="00732A87">
        <w:rPr>
          <w:sz w:val="22"/>
        </w:rPr>
        <w:t>21 to 7-5946). (&amp; preceding it’</w:t>
      </w:r>
      <w:r>
        <w:rPr>
          <w:sz w:val="22"/>
        </w:rPr>
        <w:t>s 2000,1987, tbd) - CAP393 PART 19 s 137, 138; Police Operations Manual CAP 612 &amp; 613, ch8.</w:t>
      </w:r>
    </w:p>
    <w:p w:rsidR="00085E02" w:rsidRDefault="00085E02">
      <w:pPr>
        <w:pStyle w:val="BulletList"/>
        <w:widowControl/>
        <w:numPr>
          <w:ilvl w:val="0"/>
          <w:numId w:val="1"/>
        </w:numPr>
        <w:rPr>
          <w:sz w:val="22"/>
        </w:rPr>
      </w:pPr>
      <w:r>
        <w:rPr>
          <w:sz w:val="22"/>
        </w:rPr>
        <w:t xml:space="preserve">    </w:t>
      </w:r>
      <w:r>
        <w:rPr>
          <w:i/>
          <w:sz w:val="22"/>
        </w:rPr>
        <w:t xml:space="preserve">endangering or worrying livestock </w:t>
      </w:r>
      <w:r>
        <w:rPr>
          <w:sz w:val="22"/>
        </w:rPr>
        <w:t>- yet to research applicable statute</w:t>
      </w:r>
    </w:p>
    <w:p w:rsidR="00085E02" w:rsidRDefault="00085E02">
      <w:pPr>
        <w:pStyle w:val="BulletList"/>
        <w:widowControl/>
        <w:numPr>
          <w:ilvl w:val="0"/>
          <w:numId w:val="1"/>
        </w:numPr>
        <w:rPr>
          <w:i/>
          <w:sz w:val="22"/>
        </w:rPr>
      </w:pPr>
      <w:r>
        <w:rPr>
          <w:i/>
          <w:sz w:val="22"/>
        </w:rPr>
        <w:t xml:space="preserve">    </w:t>
      </w:r>
      <w:r>
        <w:rPr>
          <w:sz w:val="22"/>
        </w:rPr>
        <w:t>The Criminal Attempts Act 1981</w:t>
      </w:r>
    </w:p>
    <w:p w:rsidR="00085E02" w:rsidRDefault="00085E02">
      <w:pPr>
        <w:pStyle w:val="BulletList"/>
        <w:widowControl/>
        <w:ind w:left="0" w:firstLine="0"/>
        <w:rPr>
          <w:sz w:val="22"/>
        </w:rPr>
      </w:pPr>
    </w:p>
    <w:p w:rsidR="00085E02" w:rsidRDefault="00085E02">
      <w:pPr>
        <w:pStyle w:val="BulletList"/>
        <w:widowControl/>
        <w:ind w:left="0" w:firstLine="0"/>
        <w:rPr>
          <w:sz w:val="22"/>
        </w:rPr>
      </w:pPr>
      <w:r>
        <w:rPr>
          <w:sz w:val="22"/>
        </w:rPr>
        <w:t>From CPS Guidance:</w:t>
      </w:r>
    </w:p>
    <w:p w:rsidR="00085E02" w:rsidRDefault="00085E02">
      <w:pPr>
        <w:pStyle w:val="BulletList"/>
        <w:widowControl/>
        <w:ind w:left="0" w:firstLine="0"/>
        <w:jc w:val="center"/>
        <w:rPr>
          <w:sz w:val="22"/>
          <w:u w:val="single"/>
        </w:rPr>
      </w:pPr>
      <w:r>
        <w:rPr>
          <w:sz w:val="22"/>
          <w:u w:val="single"/>
        </w:rPr>
        <w:t>Code for Crown Prosecutors - Considerations</w:t>
      </w:r>
    </w:p>
    <w:p w:rsidR="00085E02" w:rsidRDefault="00085E02">
      <w:pPr>
        <w:pStyle w:val="BulletList"/>
        <w:widowControl/>
        <w:ind w:left="0" w:firstLine="0"/>
        <w:rPr>
          <w:sz w:val="22"/>
        </w:rPr>
      </w:pPr>
    </w:p>
    <w:p w:rsidR="00085E02" w:rsidRDefault="00085E02">
      <w:pPr>
        <w:pStyle w:val="BulletList"/>
        <w:widowControl/>
        <w:ind w:left="0" w:firstLine="0"/>
        <w:rPr>
          <w:sz w:val="22"/>
        </w:rPr>
      </w:pPr>
      <w:r>
        <w:rPr>
          <w:sz w:val="22"/>
        </w:rPr>
        <w:t xml:space="preserve">A prosecution for contravention of transport legislation will </w:t>
      </w:r>
      <w:r>
        <w:rPr>
          <w:b/>
          <w:sz w:val="22"/>
          <w:u w:val="single"/>
        </w:rPr>
        <w:t>certainly</w:t>
      </w:r>
      <w:r>
        <w:rPr>
          <w:b/>
          <w:sz w:val="22"/>
        </w:rPr>
        <w:t xml:space="preserve"> be in the public interest</w:t>
      </w:r>
      <w:r>
        <w:rPr>
          <w:sz w:val="22"/>
        </w:rPr>
        <w:t>:</w:t>
      </w:r>
    </w:p>
    <w:p w:rsidR="00085E02" w:rsidRDefault="00085E02">
      <w:pPr>
        <w:pStyle w:val="BulletList"/>
        <w:widowControl/>
        <w:numPr>
          <w:ilvl w:val="0"/>
          <w:numId w:val="2"/>
        </w:numPr>
        <w:rPr>
          <w:sz w:val="22"/>
        </w:rPr>
      </w:pPr>
      <w:r>
        <w:rPr>
          <w:sz w:val="20"/>
        </w:rPr>
        <w:t xml:space="preserve">    where public safety has been placed at risk</w:t>
      </w:r>
    </w:p>
    <w:p w:rsidR="00085E02" w:rsidRDefault="00085E02">
      <w:pPr>
        <w:pStyle w:val="BulletList"/>
        <w:widowControl/>
        <w:numPr>
          <w:ilvl w:val="0"/>
          <w:numId w:val="2"/>
        </w:numPr>
        <w:rPr>
          <w:sz w:val="20"/>
        </w:rPr>
      </w:pPr>
      <w:r>
        <w:rPr>
          <w:sz w:val="20"/>
        </w:rPr>
        <w:t xml:space="preserve">    where serious or widespread disruption and inconvenience has been caused to persons using the transport system.</w:t>
      </w:r>
    </w:p>
    <w:p w:rsidR="00085E02" w:rsidRDefault="00085E02">
      <w:pPr>
        <w:pStyle w:val="BulletList"/>
        <w:widowControl/>
        <w:ind w:left="0" w:firstLine="0"/>
        <w:rPr>
          <w:sz w:val="22"/>
        </w:rPr>
      </w:pPr>
    </w:p>
    <w:p w:rsidR="00085E02" w:rsidRDefault="00085E02">
      <w:pPr>
        <w:pStyle w:val="BulletList"/>
        <w:widowControl/>
        <w:ind w:left="0" w:firstLine="0"/>
        <w:rPr>
          <w:sz w:val="22"/>
        </w:rPr>
      </w:pPr>
      <w:r>
        <w:rPr>
          <w:sz w:val="22"/>
        </w:rPr>
        <w:t xml:space="preserve">A prosecution </w:t>
      </w:r>
      <w:r>
        <w:rPr>
          <w:b/>
          <w:sz w:val="22"/>
          <w:u w:val="single"/>
        </w:rPr>
        <w:t xml:space="preserve">may </w:t>
      </w:r>
      <w:r>
        <w:rPr>
          <w:sz w:val="22"/>
        </w:rPr>
        <w:t>not be required where there</w:t>
      </w:r>
      <w:r>
        <w:rPr>
          <w:b/>
          <w:sz w:val="22"/>
        </w:rPr>
        <w:t xml:space="preserve"> is a purely technical breach</w:t>
      </w:r>
      <w:r>
        <w:rPr>
          <w:sz w:val="22"/>
        </w:rPr>
        <w:t xml:space="preserve"> of the law if:</w:t>
      </w:r>
    </w:p>
    <w:p w:rsidR="00085E02" w:rsidRDefault="00085E02">
      <w:pPr>
        <w:pStyle w:val="BulletList"/>
        <w:widowControl/>
        <w:numPr>
          <w:ilvl w:val="0"/>
          <w:numId w:val="3"/>
        </w:numPr>
        <w:rPr>
          <w:sz w:val="22"/>
        </w:rPr>
      </w:pPr>
      <w:r>
        <w:rPr>
          <w:sz w:val="20"/>
        </w:rPr>
        <w:t xml:space="preserve">    there has been no risk to public safety and</w:t>
      </w:r>
    </w:p>
    <w:p w:rsidR="00085E02" w:rsidRDefault="00085E02">
      <w:pPr>
        <w:pStyle w:val="BulletList"/>
        <w:widowControl/>
        <w:numPr>
          <w:ilvl w:val="0"/>
          <w:numId w:val="3"/>
        </w:numPr>
        <w:rPr>
          <w:sz w:val="20"/>
        </w:rPr>
      </w:pPr>
      <w:r>
        <w:rPr>
          <w:sz w:val="20"/>
        </w:rPr>
        <w:t xml:space="preserve">    the offence resulted from a genuine oversight or misunderstanding and</w:t>
      </w:r>
    </w:p>
    <w:p w:rsidR="00085E02" w:rsidRDefault="00085E02">
      <w:pPr>
        <w:pStyle w:val="BulletList"/>
        <w:widowControl/>
        <w:numPr>
          <w:ilvl w:val="0"/>
          <w:numId w:val="3"/>
        </w:numPr>
        <w:rPr>
          <w:sz w:val="20"/>
        </w:rPr>
      </w:pPr>
      <w:r>
        <w:rPr>
          <w:sz w:val="20"/>
        </w:rPr>
        <w:t xml:space="preserve">    no injury or loss has been sustained by either passengers or staff.</w:t>
      </w:r>
    </w:p>
    <w:p w:rsidR="00085E02" w:rsidRDefault="00085E02">
      <w:pPr>
        <w:pStyle w:val="BulletList"/>
        <w:widowControl/>
        <w:ind w:left="0" w:firstLine="0"/>
        <w:rPr>
          <w:sz w:val="22"/>
        </w:rPr>
      </w:pPr>
    </w:p>
    <w:p w:rsidR="00085E02" w:rsidRDefault="00085E02">
      <w:pPr>
        <w:pStyle w:val="BulletList"/>
        <w:widowControl/>
        <w:ind w:left="0" w:firstLine="0"/>
        <w:rPr>
          <w:sz w:val="22"/>
        </w:rPr>
      </w:pPr>
    </w:p>
    <w:p w:rsidR="00085E02" w:rsidRDefault="00085E02">
      <w:pPr>
        <w:pStyle w:val="BulletList"/>
        <w:widowControl/>
        <w:ind w:left="0" w:firstLine="0"/>
        <w:rPr>
          <w:b/>
          <w:sz w:val="22"/>
          <w:u w:val="single"/>
        </w:rPr>
      </w:pPr>
      <w:r>
        <w:rPr>
          <w:b/>
          <w:sz w:val="22"/>
          <w:u w:val="single"/>
        </w:rPr>
        <w:t>Criminal Conduct at Sea and in the Air</w:t>
      </w:r>
    </w:p>
    <w:p w:rsidR="00085E02" w:rsidRDefault="00085E02">
      <w:pPr>
        <w:pStyle w:val="BulletList"/>
        <w:widowControl/>
        <w:ind w:left="0" w:firstLine="0"/>
        <w:rPr>
          <w:sz w:val="22"/>
        </w:rPr>
      </w:pPr>
      <w:r>
        <w:rPr>
          <w:sz w:val="22"/>
        </w:rPr>
        <w:t xml:space="preserve">Courts in the United Kingdom have power to deal with offences which are committed </w:t>
      </w:r>
      <w:r>
        <w:rPr>
          <w:b/>
          <w:sz w:val="22"/>
        </w:rPr>
        <w:t xml:space="preserve">on-board any aircraft </w:t>
      </w:r>
      <w:r>
        <w:rPr>
          <w:sz w:val="22"/>
        </w:rPr>
        <w:t>whilst on the ground or in the air over the United Kingdom.</w:t>
      </w:r>
    </w:p>
    <w:p w:rsidR="00085E02" w:rsidRDefault="00085E02">
      <w:pPr>
        <w:pStyle w:val="BulletList"/>
        <w:widowControl/>
        <w:ind w:left="0" w:firstLine="0"/>
        <w:rPr>
          <w:sz w:val="22"/>
        </w:rPr>
      </w:pPr>
      <w:r>
        <w:rPr>
          <w:sz w:val="22"/>
        </w:rPr>
        <w:t xml:space="preserve">   .........the act or omission ........... (the 'dual criminality' test) and</w:t>
      </w:r>
    </w:p>
    <w:p w:rsidR="00085E02" w:rsidRDefault="00085E02">
      <w:pPr>
        <w:pStyle w:val="BulletList"/>
        <w:widowControl/>
        <w:ind w:left="0" w:firstLine="0"/>
        <w:rPr>
          <w:sz w:val="22"/>
        </w:rPr>
      </w:pPr>
      <w:r>
        <w:rPr>
          <w:sz w:val="22"/>
        </w:rPr>
        <w:lastRenderedPageBreak/>
        <w:t xml:space="preserve">    after the act or omission occurs, the next landing of the aircraft is in the United Kingdom.</w:t>
      </w:r>
    </w:p>
    <w:p w:rsidR="00085E02" w:rsidRDefault="00085E02">
      <w:pPr>
        <w:pStyle w:val="BulletList"/>
        <w:widowControl/>
        <w:ind w:left="0" w:firstLine="0"/>
        <w:rPr>
          <w:sz w:val="22"/>
        </w:rPr>
      </w:pPr>
      <w:r>
        <w:rPr>
          <w:b/>
          <w:sz w:val="22"/>
        </w:rPr>
        <w:t>You should also note the following points:</w:t>
      </w:r>
    </w:p>
    <w:p w:rsidR="00085E02" w:rsidRDefault="00085E02">
      <w:pPr>
        <w:pStyle w:val="BulletList"/>
        <w:widowControl/>
        <w:ind w:left="0" w:firstLine="0"/>
        <w:rPr>
          <w:sz w:val="22"/>
        </w:rPr>
      </w:pPr>
      <w:r>
        <w:rPr>
          <w:sz w:val="22"/>
        </w:rPr>
        <w:tab/>
      </w:r>
      <w:r>
        <w:rPr>
          <w:sz w:val="20"/>
        </w:rPr>
        <w:t xml:space="preserve">    the period an aircraft is "in flight"     is deemed to span the period between the first application of power for </w:t>
      </w:r>
      <w:r w:rsidR="00732A87">
        <w:rPr>
          <w:sz w:val="20"/>
        </w:rPr>
        <w:t>t</w:t>
      </w:r>
      <w:r>
        <w:rPr>
          <w:sz w:val="20"/>
        </w:rPr>
        <w:t>he purpose of the aircraft taking off until the moment when the landing run ends at the termination of that flight</w:t>
      </w:r>
    </w:p>
    <w:p w:rsidR="00085E02" w:rsidRDefault="00085E02">
      <w:pPr>
        <w:pStyle w:val="BulletList"/>
        <w:widowControl/>
        <w:ind w:left="0" w:firstLine="0"/>
        <w:rPr>
          <w:sz w:val="22"/>
        </w:rPr>
      </w:pPr>
    </w:p>
    <w:p w:rsidR="00085E02" w:rsidRDefault="00085E02">
      <w:pPr>
        <w:pStyle w:val="BulletList"/>
        <w:widowControl/>
        <w:ind w:left="0" w:firstLine="0"/>
        <w:rPr>
          <w:sz w:val="22"/>
        </w:rPr>
      </w:pPr>
      <w:r>
        <w:rPr>
          <w:sz w:val="22"/>
        </w:rPr>
        <w:t xml:space="preserve">Part 1 of the </w:t>
      </w:r>
      <w:r>
        <w:rPr>
          <w:b/>
          <w:sz w:val="22"/>
        </w:rPr>
        <w:t>Aviation and Security Act 1982</w:t>
      </w:r>
      <w:r>
        <w:rPr>
          <w:sz w:val="22"/>
        </w:rPr>
        <w:t xml:space="preserve"> (Stones 7-5433 to 7-5436) provides for offences against the safety of aircraft, including:</w:t>
      </w:r>
    </w:p>
    <w:p w:rsidR="00085E02" w:rsidRDefault="00085E02">
      <w:pPr>
        <w:pStyle w:val="BulletList"/>
        <w:widowControl/>
        <w:numPr>
          <w:ilvl w:val="0"/>
          <w:numId w:val="5"/>
        </w:numPr>
        <w:rPr>
          <w:sz w:val="22"/>
        </w:rPr>
      </w:pPr>
      <w:r>
        <w:rPr>
          <w:sz w:val="22"/>
        </w:rPr>
        <w:t xml:space="preserve">    hijacking (section 1)</w:t>
      </w:r>
    </w:p>
    <w:p w:rsidR="00085E02" w:rsidRDefault="00085E02">
      <w:pPr>
        <w:pStyle w:val="BulletList"/>
        <w:widowControl/>
        <w:numPr>
          <w:ilvl w:val="0"/>
          <w:numId w:val="4"/>
        </w:numPr>
        <w:rPr>
          <w:sz w:val="22"/>
        </w:rPr>
      </w:pPr>
      <w:r>
        <w:rPr>
          <w:sz w:val="22"/>
        </w:rPr>
        <w:t xml:space="preserve">    damaging or endangering the safety of aircraft (sections 2 and 3)</w:t>
      </w:r>
    </w:p>
    <w:p w:rsidR="00085E02" w:rsidRDefault="00085E02">
      <w:pPr>
        <w:pStyle w:val="BulletList"/>
        <w:widowControl/>
        <w:numPr>
          <w:ilvl w:val="0"/>
          <w:numId w:val="4"/>
        </w:numPr>
        <w:rPr>
          <w:sz w:val="22"/>
        </w:rPr>
      </w:pPr>
      <w:r>
        <w:rPr>
          <w:sz w:val="22"/>
        </w:rPr>
        <w:t xml:space="preserve">    offences relating to security at aerodromes and on aircraft (sections 21(A)-(E)).</w:t>
      </w:r>
    </w:p>
    <w:p w:rsidR="00085E02" w:rsidRDefault="00085E02">
      <w:pPr>
        <w:pStyle w:val="BulletList"/>
        <w:widowControl/>
        <w:ind w:left="0" w:firstLine="0"/>
        <w:rPr>
          <w:sz w:val="22"/>
        </w:rPr>
      </w:pPr>
    </w:p>
    <w:p w:rsidR="00085E02" w:rsidRDefault="00085E02">
      <w:pPr>
        <w:pStyle w:val="BulletList"/>
        <w:widowControl/>
        <w:ind w:left="0" w:firstLine="0"/>
        <w:rPr>
          <w:sz w:val="22"/>
        </w:rPr>
      </w:pPr>
      <w:r>
        <w:rPr>
          <w:sz w:val="22"/>
        </w:rPr>
        <w:t xml:space="preserve">The CAA regulates the safety of civil aviation. </w:t>
      </w:r>
      <w:r>
        <w:rPr>
          <w:b/>
          <w:sz w:val="22"/>
        </w:rPr>
        <w:t>In particular, the Air Navigation Order 2005 (ANO)</w:t>
      </w:r>
      <w:r>
        <w:rPr>
          <w:sz w:val="22"/>
        </w:rPr>
        <w:t xml:space="preserve">, made under section 61 of the CAA creates a number of offences designed to secure the safety of civil aircraft, </w:t>
      </w:r>
      <w:r>
        <w:rPr>
          <w:b/>
          <w:sz w:val="22"/>
        </w:rPr>
        <w:t>some relate to</w:t>
      </w:r>
      <w:r>
        <w:rPr>
          <w:sz w:val="22"/>
        </w:rPr>
        <w:t xml:space="preserve"> the conduct of passengers </w:t>
      </w:r>
      <w:r>
        <w:rPr>
          <w:b/>
          <w:sz w:val="22"/>
        </w:rPr>
        <w:t>and air traffic controllers as well as to aircrew</w:t>
      </w:r>
      <w:r>
        <w:rPr>
          <w:sz w:val="22"/>
        </w:rPr>
        <w:t>. In particular, you should note the following:</w:t>
      </w:r>
    </w:p>
    <w:p w:rsidR="00085E02" w:rsidRDefault="00085E02">
      <w:pPr>
        <w:pStyle w:val="BulletList"/>
        <w:widowControl/>
        <w:ind w:left="0" w:firstLine="0"/>
        <w:rPr>
          <w:sz w:val="22"/>
        </w:rPr>
      </w:pPr>
    </w:p>
    <w:p w:rsidR="00085E02" w:rsidRDefault="00085E02">
      <w:pPr>
        <w:pStyle w:val="BulletList"/>
        <w:widowControl/>
        <w:ind w:left="0" w:firstLine="0"/>
        <w:rPr>
          <w:sz w:val="22"/>
        </w:rPr>
      </w:pPr>
      <w:r>
        <w:rPr>
          <w:sz w:val="22"/>
        </w:rPr>
        <w:t xml:space="preserve">    </w:t>
      </w:r>
      <w:r>
        <w:rPr>
          <w:b/>
        </w:rPr>
        <w:t>Article 73</w:t>
      </w:r>
      <w:r>
        <w:rPr>
          <w:sz w:val="22"/>
        </w:rPr>
        <w:t xml:space="preserve"> prohibits </w:t>
      </w:r>
      <w:r>
        <w:rPr>
          <w:b/>
          <w:sz w:val="22"/>
        </w:rPr>
        <w:t>any person</w:t>
      </w:r>
      <w:r>
        <w:rPr>
          <w:sz w:val="22"/>
        </w:rPr>
        <w:t xml:space="preserve"> acting </w:t>
      </w:r>
      <w:r>
        <w:rPr>
          <w:b/>
          <w:sz w:val="22"/>
        </w:rPr>
        <w:t>recklessly or negligently</w:t>
      </w:r>
      <w:r>
        <w:rPr>
          <w:sz w:val="22"/>
        </w:rPr>
        <w:t xml:space="preserve"> in a </w:t>
      </w:r>
      <w:r>
        <w:rPr>
          <w:b/>
          <w:sz w:val="22"/>
        </w:rPr>
        <w:t>manner likely to</w:t>
      </w:r>
      <w:r>
        <w:rPr>
          <w:sz w:val="22"/>
        </w:rPr>
        <w:t xml:space="preserve"> endanger an aircraft, or any person therein;</w:t>
      </w:r>
    </w:p>
    <w:p w:rsidR="00085E02" w:rsidRDefault="00085E02">
      <w:pPr>
        <w:pStyle w:val="BulletList"/>
        <w:widowControl/>
        <w:ind w:left="0" w:firstLine="0"/>
        <w:rPr>
          <w:sz w:val="22"/>
        </w:rPr>
      </w:pPr>
      <w:r>
        <w:rPr>
          <w:sz w:val="22"/>
        </w:rPr>
        <w:t xml:space="preserve">    </w:t>
      </w:r>
      <w:r>
        <w:rPr>
          <w:b/>
        </w:rPr>
        <w:t>Article 74</w:t>
      </w:r>
      <w:r>
        <w:rPr>
          <w:sz w:val="22"/>
        </w:rPr>
        <w:t xml:space="preserve"> prohibits </w:t>
      </w:r>
      <w:r>
        <w:rPr>
          <w:b/>
          <w:sz w:val="22"/>
        </w:rPr>
        <w:t>any person recklessly or negligently causing or permitting</w:t>
      </w:r>
      <w:r>
        <w:rPr>
          <w:sz w:val="22"/>
        </w:rPr>
        <w:t xml:space="preserve"> an aircraft to endanger any person or property;</w:t>
      </w:r>
    </w:p>
    <w:p w:rsidR="00085E02" w:rsidRDefault="00085E02">
      <w:pPr>
        <w:pStyle w:val="BulletList"/>
        <w:widowControl/>
        <w:ind w:left="0" w:firstLine="0"/>
        <w:rPr>
          <w:sz w:val="22"/>
        </w:rPr>
      </w:pPr>
      <w:r>
        <w:rPr>
          <w:sz w:val="22"/>
        </w:rPr>
        <w:t xml:space="preserve">   </w:t>
      </w:r>
      <w:r>
        <w:rPr>
          <w:sz w:val="22"/>
        </w:rPr>
        <w:tab/>
      </w:r>
      <w:r>
        <w:rPr>
          <w:sz w:val="22"/>
        </w:rPr>
        <w:tab/>
        <w:t xml:space="preserve"> </w:t>
      </w:r>
      <w:r>
        <w:rPr>
          <w:b/>
          <w:sz w:val="22"/>
        </w:rPr>
        <w:t>Article 75</w:t>
      </w:r>
      <w:r>
        <w:rPr>
          <w:sz w:val="22"/>
        </w:rPr>
        <w:t xml:space="preserve">  n/a ;     </w:t>
      </w:r>
      <w:r>
        <w:rPr>
          <w:b/>
          <w:sz w:val="22"/>
        </w:rPr>
        <w:t>Article 76</w:t>
      </w:r>
      <w:r>
        <w:rPr>
          <w:sz w:val="22"/>
        </w:rPr>
        <w:t xml:space="preserve"> n/a ;</w:t>
      </w:r>
    </w:p>
    <w:p w:rsidR="00085E02" w:rsidRDefault="00085E02">
      <w:pPr>
        <w:pStyle w:val="BulletList"/>
        <w:widowControl/>
        <w:ind w:left="0" w:firstLine="0"/>
        <w:rPr>
          <w:sz w:val="22"/>
        </w:rPr>
      </w:pPr>
      <w:r>
        <w:rPr>
          <w:sz w:val="22"/>
        </w:rPr>
        <w:t xml:space="preserve">    </w:t>
      </w:r>
      <w:r>
        <w:rPr>
          <w:b/>
        </w:rPr>
        <w:t>Article 77</w:t>
      </w:r>
      <w:r>
        <w:rPr>
          <w:sz w:val="22"/>
        </w:rPr>
        <w:t xml:space="preserve"> requires every person in an aircraft to obey </w:t>
      </w:r>
      <w:r>
        <w:rPr>
          <w:b/>
          <w:sz w:val="22"/>
        </w:rPr>
        <w:t xml:space="preserve">all lawful </w:t>
      </w:r>
      <w:r>
        <w:rPr>
          <w:sz w:val="22"/>
        </w:rPr>
        <w:t>commands which the</w:t>
      </w:r>
      <w:r>
        <w:rPr>
          <w:b/>
          <w:sz w:val="22"/>
        </w:rPr>
        <w:t xml:space="preserve"> commander </w:t>
      </w:r>
      <w:r>
        <w:rPr>
          <w:sz w:val="22"/>
        </w:rPr>
        <w:t xml:space="preserve">of the aircraft may give </w:t>
      </w:r>
      <w:r>
        <w:rPr>
          <w:b/>
          <w:sz w:val="22"/>
        </w:rPr>
        <w:t xml:space="preserve">for securing the safety of </w:t>
      </w:r>
      <w:r>
        <w:rPr>
          <w:sz w:val="22"/>
        </w:rPr>
        <w:t xml:space="preserve">the aircraft and its passengers </w:t>
      </w:r>
      <w:r>
        <w:rPr>
          <w:b/>
          <w:sz w:val="22"/>
        </w:rPr>
        <w:t>or for the efficiency of</w:t>
      </w:r>
      <w:r>
        <w:rPr>
          <w:sz w:val="22"/>
        </w:rPr>
        <w:t xml:space="preserve"> air navigation. This </w:t>
      </w:r>
      <w:r>
        <w:rPr>
          <w:b/>
          <w:sz w:val="22"/>
        </w:rPr>
        <w:t>could include</w:t>
      </w:r>
      <w:r>
        <w:rPr>
          <w:sz w:val="22"/>
        </w:rPr>
        <w:t>, for example, an order to a passenger to switch off a mobile telephone</w:t>
      </w:r>
    </w:p>
    <w:p w:rsidR="00085E02" w:rsidRDefault="00085E02">
      <w:pPr>
        <w:pStyle w:val="BulletList"/>
        <w:widowControl/>
        <w:ind w:left="0" w:firstLine="0"/>
        <w:rPr>
          <w:sz w:val="22"/>
        </w:rPr>
      </w:pPr>
      <w:r>
        <w:rPr>
          <w:sz w:val="22"/>
        </w:rPr>
        <w:t xml:space="preserve">    </w:t>
      </w:r>
      <w:r>
        <w:rPr>
          <w:b/>
        </w:rPr>
        <w:t>Article 78</w:t>
      </w:r>
      <w:r>
        <w:rPr>
          <w:sz w:val="22"/>
        </w:rPr>
        <w:t xml:space="preserve"> prohibits </w:t>
      </w:r>
      <w:r>
        <w:rPr>
          <w:b/>
          <w:sz w:val="22"/>
        </w:rPr>
        <w:t>every person in</w:t>
      </w:r>
      <w:r>
        <w:rPr>
          <w:sz w:val="22"/>
        </w:rPr>
        <w:t xml:space="preserve"> an aircraft from using </w:t>
      </w:r>
      <w:r>
        <w:rPr>
          <w:b/>
          <w:sz w:val="22"/>
        </w:rPr>
        <w:t>threatening</w:t>
      </w:r>
      <w:r>
        <w:rPr>
          <w:sz w:val="22"/>
        </w:rPr>
        <w:t xml:space="preserve">, abusive or insulting words or behaviour or from behaving in a disorderly manner </w:t>
      </w:r>
      <w:r>
        <w:rPr>
          <w:b/>
          <w:sz w:val="22"/>
        </w:rPr>
        <w:t>towards a member of the crew</w:t>
      </w:r>
      <w:r>
        <w:rPr>
          <w:sz w:val="22"/>
        </w:rPr>
        <w:t xml:space="preserve"> of the aircraft. It also makes it an offence for </w:t>
      </w:r>
      <w:r>
        <w:rPr>
          <w:b/>
          <w:sz w:val="22"/>
        </w:rPr>
        <w:t>someone intentionally to interfere with the performance of duties by</w:t>
      </w:r>
      <w:r>
        <w:rPr>
          <w:sz w:val="22"/>
        </w:rPr>
        <w:t xml:space="preserve"> a member of the crew.</w:t>
      </w:r>
    </w:p>
    <w:p w:rsidR="00085E02" w:rsidRDefault="00085E02">
      <w:pPr>
        <w:pStyle w:val="BulletList"/>
        <w:widowControl/>
        <w:ind w:left="0" w:firstLine="0"/>
        <w:rPr>
          <w:sz w:val="22"/>
        </w:rPr>
      </w:pPr>
    </w:p>
    <w:p w:rsidR="00085E02" w:rsidRDefault="00085E02">
      <w:pPr>
        <w:pStyle w:val="BulletList"/>
        <w:widowControl/>
        <w:ind w:left="0" w:firstLine="0"/>
        <w:rPr>
          <w:sz w:val="22"/>
        </w:rPr>
      </w:pPr>
      <w:r>
        <w:rPr>
          <w:sz w:val="22"/>
        </w:rPr>
        <w:t>You will therefore have a choice of proceeding under the CAA or the ANO.</w:t>
      </w:r>
      <w:r>
        <w:rPr>
          <w:sz w:val="22"/>
        </w:rPr>
        <w:tab/>
      </w:r>
    </w:p>
    <w:p w:rsidR="00085E02" w:rsidRDefault="00085E02">
      <w:pPr>
        <w:pStyle w:val="BulletList"/>
        <w:widowControl/>
        <w:ind w:left="0" w:firstLine="0"/>
        <w:rPr>
          <w:sz w:val="22"/>
        </w:rPr>
      </w:pPr>
    </w:p>
    <w:p w:rsidR="00085E02" w:rsidRDefault="00085E02">
      <w:pPr>
        <w:pStyle w:val="BulletList"/>
        <w:widowControl/>
        <w:ind w:firstLine="0"/>
        <w:rPr>
          <w:sz w:val="22"/>
        </w:rPr>
      </w:pPr>
      <w:r>
        <w:rPr>
          <w:sz w:val="22"/>
        </w:rPr>
        <w:t xml:space="preserve">[ note: These </w:t>
      </w:r>
      <w:r w:rsidR="00732A87">
        <w:rPr>
          <w:sz w:val="22"/>
        </w:rPr>
        <w:t xml:space="preserve">are otherwise contained within </w:t>
      </w:r>
      <w:r>
        <w:rPr>
          <w:b/>
          <w:sz w:val="22"/>
        </w:rPr>
        <w:t>ANO P19 s137,138</w:t>
      </w:r>
      <w:r>
        <w:rPr>
          <w:sz w:val="22"/>
        </w:rPr>
        <w:t xml:space="preserve">, et al. (unclear where said articles originate - </w:t>
      </w:r>
      <w:r>
        <w:rPr>
          <w:b/>
          <w:sz w:val="22"/>
        </w:rPr>
        <w:t>CPS</w:t>
      </w:r>
      <w:r>
        <w:rPr>
          <w:sz w:val="22"/>
        </w:rPr>
        <w:t xml:space="preserve"> issue - likely they have outdated references on </w:t>
      </w:r>
      <w:r>
        <w:rPr>
          <w:b/>
          <w:i/>
          <w:sz w:val="22"/>
        </w:rPr>
        <w:t>their</w:t>
      </w:r>
      <w:r>
        <w:rPr>
          <w:sz w:val="22"/>
        </w:rPr>
        <w:t xml:space="preserve"> website!. Also to note all preceding ANO’s maintain same clauses (if not numbers) as rolled up into subsequent order, with exception of new offences such as smoking, etc - Art 75 or 76, or laser pens) ]</w:t>
      </w:r>
    </w:p>
    <w:p w:rsidR="00085E02" w:rsidRDefault="00085E02">
      <w:pPr>
        <w:pStyle w:val="BulletList"/>
        <w:widowControl/>
        <w:ind w:firstLine="0"/>
        <w:rPr>
          <w:sz w:val="22"/>
        </w:rPr>
      </w:pPr>
    </w:p>
    <w:p w:rsidR="00085E02" w:rsidRDefault="00085E02">
      <w:pPr>
        <w:pStyle w:val="BulletList"/>
        <w:widowControl/>
        <w:ind w:left="0" w:firstLine="0"/>
        <w:rPr>
          <w:sz w:val="22"/>
        </w:rPr>
      </w:pPr>
      <w:r>
        <w:rPr>
          <w:sz w:val="22"/>
        </w:rPr>
        <w:t>CPS guidance (cont):</w:t>
      </w:r>
    </w:p>
    <w:p w:rsidR="00085E02" w:rsidRDefault="00085E02">
      <w:pPr>
        <w:pStyle w:val="BulletList"/>
        <w:widowControl/>
        <w:ind w:left="0" w:firstLine="0"/>
        <w:rPr>
          <w:sz w:val="22"/>
        </w:rPr>
      </w:pPr>
    </w:p>
    <w:p w:rsidR="00085E02" w:rsidRDefault="00085E02">
      <w:pPr>
        <w:pStyle w:val="BulletList"/>
        <w:widowControl/>
        <w:numPr>
          <w:ilvl w:val="0"/>
          <w:numId w:val="6"/>
        </w:numPr>
        <w:rPr>
          <w:sz w:val="22"/>
        </w:rPr>
      </w:pPr>
      <w:r>
        <w:rPr>
          <w:sz w:val="22"/>
        </w:rPr>
        <w:t xml:space="preserve">the </w:t>
      </w:r>
      <w:r>
        <w:rPr>
          <w:b/>
          <w:sz w:val="22"/>
        </w:rPr>
        <w:t>level of</w:t>
      </w:r>
      <w:r>
        <w:rPr>
          <w:sz w:val="22"/>
        </w:rPr>
        <w:t xml:space="preserve"> danger, actual</w:t>
      </w:r>
      <w:r>
        <w:rPr>
          <w:b/>
          <w:sz w:val="22"/>
        </w:rPr>
        <w:t xml:space="preserve"> or perceived, occasioned by the defendant's actions</w:t>
      </w:r>
      <w:r>
        <w:rPr>
          <w:sz w:val="22"/>
        </w:rPr>
        <w:t>.</w:t>
      </w:r>
    </w:p>
    <w:p w:rsidR="00085E02" w:rsidRDefault="00085E02">
      <w:pPr>
        <w:widowControl/>
        <w:rPr>
          <w:sz w:val="22"/>
        </w:rPr>
      </w:pPr>
    </w:p>
    <w:p w:rsidR="00085E02" w:rsidRDefault="00085E02">
      <w:pPr>
        <w:widowControl/>
        <w:rPr>
          <w:sz w:val="22"/>
        </w:rPr>
      </w:pPr>
      <w:r>
        <w:rPr>
          <w:sz w:val="22"/>
        </w:rPr>
        <w:t xml:space="preserve">If you are reviewing any case involving the issue of aircraft safety you are strongly advised to consult the Civil Aviation Authority. </w:t>
      </w:r>
      <w:r>
        <w:rPr>
          <w:b/>
          <w:sz w:val="22"/>
        </w:rPr>
        <w:t xml:space="preserve">Such prosecutions can pose difficult evidential problems </w:t>
      </w:r>
      <w:r>
        <w:rPr>
          <w:sz w:val="22"/>
        </w:rPr>
        <w:t xml:space="preserve">and the Authority, who have a great deal of knowledge and experience in this area, can offer helpful advice. In the first instance, you should contact the Secretary and Legal Adviser. </w:t>
      </w:r>
    </w:p>
    <w:p w:rsidR="00085E02" w:rsidRDefault="00085E02">
      <w:pPr>
        <w:pStyle w:val="BulletList"/>
        <w:widowControl/>
        <w:ind w:left="0" w:firstLine="0"/>
        <w:rPr>
          <w:sz w:val="22"/>
        </w:rPr>
      </w:pPr>
    </w:p>
    <w:p w:rsidR="00085E02" w:rsidRDefault="00085E02">
      <w:pPr>
        <w:pStyle w:val="BulletList"/>
        <w:widowControl/>
        <w:ind w:left="0" w:firstLine="0"/>
        <w:rPr>
          <w:sz w:val="22"/>
        </w:rPr>
      </w:pPr>
    </w:p>
    <w:p w:rsidR="00085E02" w:rsidRDefault="00085E02">
      <w:pPr>
        <w:widowControl/>
        <w:rPr>
          <w:sz w:val="22"/>
        </w:rPr>
      </w:pPr>
      <w:r>
        <w:rPr>
          <w:sz w:val="22"/>
        </w:rPr>
        <w:t xml:space="preserve">ASA s2(2): </w:t>
      </w:r>
      <w:r>
        <w:rPr>
          <w:sz w:val="22"/>
        </w:rPr>
        <w:tab/>
        <w:t xml:space="preserve"> “</w:t>
      </w:r>
      <w:r>
        <w:rPr>
          <w:b/>
          <w:i/>
          <w:sz w:val="22"/>
        </w:rPr>
        <w:t>nothing shall</w:t>
      </w:r>
      <w:r>
        <w:rPr>
          <w:sz w:val="22"/>
        </w:rPr>
        <w:t xml:space="preserve"> be construed </w:t>
      </w:r>
      <w:r>
        <w:rPr>
          <w:b/>
          <w:i/>
          <w:sz w:val="22"/>
        </w:rPr>
        <w:t>as limiting</w:t>
      </w:r>
      <w:r>
        <w:rPr>
          <w:sz w:val="22"/>
        </w:rPr>
        <w:t>”</w:t>
      </w:r>
    </w:p>
    <w:p w:rsidR="00085E02" w:rsidRDefault="00085E02">
      <w:pPr>
        <w:widowControl/>
        <w:rPr>
          <w:sz w:val="22"/>
        </w:rPr>
      </w:pPr>
      <w:r>
        <w:rPr>
          <w:sz w:val="22"/>
        </w:rPr>
        <w:t>ASA s2(2)(b):</w:t>
      </w:r>
      <w:r>
        <w:rPr>
          <w:sz w:val="22"/>
        </w:rPr>
        <w:tab/>
        <w:t>“</w:t>
      </w:r>
      <w:r>
        <w:rPr>
          <w:b/>
          <w:i/>
          <w:sz w:val="22"/>
        </w:rPr>
        <w:t>attempting</w:t>
      </w:r>
      <w:r>
        <w:rPr>
          <w:sz w:val="22"/>
        </w:rPr>
        <w:t xml:space="preserve"> or</w:t>
      </w:r>
      <w:r>
        <w:rPr>
          <w:b/>
          <w:i/>
          <w:sz w:val="22"/>
        </w:rPr>
        <w:t xml:space="preserve"> conspiring to</w:t>
      </w:r>
      <w:r>
        <w:rPr>
          <w:sz w:val="22"/>
        </w:rPr>
        <w:t xml:space="preserve"> commit, ..  art </w:t>
      </w:r>
      <w:r>
        <w:rPr>
          <w:b/>
          <w:i/>
          <w:sz w:val="22"/>
        </w:rPr>
        <w:t>or part in</w:t>
      </w:r>
      <w:r>
        <w:rPr>
          <w:sz w:val="22"/>
        </w:rPr>
        <w:t>..”</w:t>
      </w:r>
    </w:p>
    <w:p w:rsidR="00085E02" w:rsidRDefault="00085E02">
      <w:pPr>
        <w:widowControl/>
        <w:rPr>
          <w:sz w:val="22"/>
        </w:rPr>
      </w:pPr>
      <w:r>
        <w:rPr>
          <w:sz w:val="22"/>
        </w:rPr>
        <w:t xml:space="preserve">ASA s4(a) </w:t>
      </w:r>
      <w:r>
        <w:rPr>
          <w:sz w:val="22"/>
        </w:rPr>
        <w:tab/>
        <w:t>“that it relates to a police aircraft inside the UK.”</w:t>
      </w:r>
    </w:p>
    <w:p w:rsidR="00085E02" w:rsidRDefault="00085E02">
      <w:pPr>
        <w:widowControl/>
        <w:rPr>
          <w:sz w:val="22"/>
        </w:rPr>
      </w:pPr>
      <w:r>
        <w:rPr>
          <w:sz w:val="22"/>
        </w:rPr>
        <w:t>ASA s5</w:t>
      </w:r>
      <w:r>
        <w:rPr>
          <w:sz w:val="22"/>
        </w:rPr>
        <w:tab/>
      </w:r>
      <w:r>
        <w:rPr>
          <w:sz w:val="22"/>
        </w:rPr>
        <w:tab/>
        <w:t xml:space="preserve">“liable to </w:t>
      </w:r>
      <w:r w:rsidR="00732A87">
        <w:rPr>
          <w:sz w:val="22"/>
        </w:rPr>
        <w:t>imprisonment</w:t>
      </w:r>
      <w:r>
        <w:rPr>
          <w:sz w:val="22"/>
        </w:rPr>
        <w:t xml:space="preserve"> for life.”</w:t>
      </w:r>
    </w:p>
    <w:p w:rsidR="00085E02" w:rsidRDefault="00085E02">
      <w:pPr>
        <w:widowControl/>
        <w:rPr>
          <w:sz w:val="22"/>
        </w:rPr>
      </w:pPr>
      <w:r>
        <w:rPr>
          <w:sz w:val="22"/>
        </w:rPr>
        <w:t>ASA s3(3)</w:t>
      </w:r>
      <w:r>
        <w:rPr>
          <w:sz w:val="22"/>
        </w:rPr>
        <w:tab/>
        <w:t xml:space="preserve">“to </w:t>
      </w:r>
      <w:r w:rsidR="00732A87">
        <w:rPr>
          <w:sz w:val="22"/>
        </w:rPr>
        <w:t>communicate</w:t>
      </w:r>
      <w:r>
        <w:rPr>
          <w:sz w:val="22"/>
        </w:rPr>
        <w:t xml:space="preserve"> </w:t>
      </w:r>
      <w:r>
        <w:rPr>
          <w:b/>
          <w:i/>
          <w:sz w:val="22"/>
        </w:rPr>
        <w:t>any</w:t>
      </w:r>
      <w:r>
        <w:rPr>
          <w:sz w:val="22"/>
        </w:rPr>
        <w:t xml:space="preserve"> information false, misleading, deceptive.. endangers </w:t>
      </w:r>
      <w:r>
        <w:rPr>
          <w:b/>
          <w:i/>
          <w:sz w:val="22"/>
        </w:rPr>
        <w:t>or likely to</w:t>
      </w:r>
      <w:r>
        <w:rPr>
          <w:sz w:val="22"/>
        </w:rPr>
        <w:t>...”</w:t>
      </w:r>
    </w:p>
    <w:p w:rsidR="00085E02" w:rsidRDefault="00085E02">
      <w:pPr>
        <w:widowControl/>
        <w:rPr>
          <w:sz w:val="22"/>
        </w:rPr>
      </w:pPr>
      <w:r>
        <w:rPr>
          <w:sz w:val="22"/>
        </w:rPr>
        <w:t>ASA 1982 s37(1)   Offences by Bodies Corporate:</w:t>
      </w:r>
    </w:p>
    <w:p w:rsidR="00085E02" w:rsidRDefault="00085E02">
      <w:pPr>
        <w:widowControl/>
        <w:rPr>
          <w:sz w:val="22"/>
        </w:rPr>
      </w:pPr>
    </w:p>
    <w:p w:rsidR="00085E02" w:rsidRDefault="00085E02">
      <w:pPr>
        <w:widowControl/>
        <w:rPr>
          <w:sz w:val="22"/>
        </w:rPr>
      </w:pPr>
      <w:r>
        <w:rPr>
          <w:sz w:val="22"/>
        </w:rPr>
        <w:tab/>
        <w:t xml:space="preserve">“committed with </w:t>
      </w:r>
      <w:r>
        <w:rPr>
          <w:b/>
          <w:i/>
          <w:sz w:val="22"/>
        </w:rPr>
        <w:t>the consent or connivance of</w:t>
      </w:r>
      <w:r>
        <w:rPr>
          <w:sz w:val="22"/>
        </w:rPr>
        <w:t xml:space="preserve">, or to be </w:t>
      </w:r>
      <w:r>
        <w:rPr>
          <w:b/>
          <w:i/>
          <w:sz w:val="22"/>
        </w:rPr>
        <w:t>attributable to</w:t>
      </w:r>
      <w:r>
        <w:rPr>
          <w:b/>
          <w:i/>
          <w:u w:val="single"/>
        </w:rPr>
        <w:t xml:space="preserve"> any</w:t>
      </w:r>
      <w:r>
        <w:rPr>
          <w:b/>
          <w:i/>
          <w:sz w:val="22"/>
        </w:rPr>
        <w:t xml:space="preserve"> </w:t>
      </w:r>
      <w:r>
        <w:rPr>
          <w:b/>
          <w:i/>
          <w:u w:val="single"/>
        </w:rPr>
        <w:t xml:space="preserve">neglect </w:t>
      </w:r>
      <w:r>
        <w:rPr>
          <w:b/>
          <w:i/>
          <w:sz w:val="22"/>
        </w:rPr>
        <w:t>on the part of</w:t>
      </w:r>
      <w:r>
        <w:rPr>
          <w:sz w:val="22"/>
        </w:rPr>
        <w:t xml:space="preserve">, any director, manager, secretary </w:t>
      </w:r>
      <w:r>
        <w:rPr>
          <w:b/>
          <w:i/>
          <w:sz w:val="22"/>
        </w:rPr>
        <w:t xml:space="preserve">or other similar officer of </w:t>
      </w:r>
      <w:r>
        <w:rPr>
          <w:sz w:val="22"/>
        </w:rPr>
        <w:t xml:space="preserve">the body corporate, </w:t>
      </w:r>
      <w:r>
        <w:rPr>
          <w:b/>
          <w:i/>
          <w:sz w:val="22"/>
        </w:rPr>
        <w:t>or any person who</w:t>
      </w:r>
      <w:r>
        <w:rPr>
          <w:sz w:val="22"/>
        </w:rPr>
        <w:t xml:space="preserve"> was purporting to act </w:t>
      </w:r>
      <w:r>
        <w:rPr>
          <w:b/>
          <w:i/>
          <w:sz w:val="22"/>
        </w:rPr>
        <w:t>in any</w:t>
      </w:r>
      <w:r>
        <w:rPr>
          <w:sz w:val="22"/>
        </w:rPr>
        <w:t xml:space="preserve"> such capacity,</w:t>
      </w:r>
      <w:r>
        <w:rPr>
          <w:b/>
          <w:i/>
          <w:sz w:val="22"/>
        </w:rPr>
        <w:t xml:space="preserve"> he</w:t>
      </w:r>
      <w:r>
        <w:rPr>
          <w:b/>
          <w:i/>
          <w:sz w:val="22"/>
          <w:u w:val="single"/>
        </w:rPr>
        <w:t xml:space="preserve"> as well as</w:t>
      </w:r>
      <w:r>
        <w:rPr>
          <w:b/>
          <w:i/>
          <w:sz w:val="22"/>
        </w:rPr>
        <w:t xml:space="preserve"> the body</w:t>
      </w:r>
      <w:r>
        <w:rPr>
          <w:sz w:val="22"/>
        </w:rPr>
        <w:t xml:space="preserve"> corporate </w:t>
      </w:r>
      <w:r>
        <w:rPr>
          <w:b/>
          <w:i/>
          <w:sz w:val="22"/>
        </w:rPr>
        <w:t xml:space="preserve">shall be guilty </w:t>
      </w:r>
      <w:r>
        <w:rPr>
          <w:sz w:val="22"/>
        </w:rPr>
        <w:t>of that offence and shall be liable to be proceeded against and punished accordingly.”</w:t>
      </w:r>
    </w:p>
    <w:p w:rsidR="00085E02" w:rsidRDefault="00085E02">
      <w:pPr>
        <w:widowControl/>
        <w:rPr>
          <w:sz w:val="22"/>
        </w:rPr>
      </w:pPr>
    </w:p>
    <w:p w:rsidR="00085E02" w:rsidRDefault="00085E02">
      <w:pPr>
        <w:widowControl/>
        <w:rPr>
          <w:b/>
          <w:sz w:val="22"/>
        </w:rPr>
      </w:pPr>
      <w:r>
        <w:rPr>
          <w:b/>
          <w:sz w:val="22"/>
        </w:rPr>
        <w:t>ANO 2005 (CAP393):</w:t>
      </w:r>
    </w:p>
    <w:p w:rsidR="00085E02" w:rsidRDefault="00732A87">
      <w:pPr>
        <w:widowControl/>
        <w:rPr>
          <w:sz w:val="22"/>
        </w:rPr>
      </w:pPr>
      <w:r>
        <w:rPr>
          <w:sz w:val="22"/>
        </w:rPr>
        <w:t>“</w:t>
      </w:r>
      <w:r w:rsidR="00085E02">
        <w:rPr>
          <w:i/>
          <w:sz w:val="22"/>
        </w:rPr>
        <w:t>Whenever circumstances reveal the existence of a potential safety threat, the CAA must carry out review</w:t>
      </w:r>
      <w:r>
        <w:rPr>
          <w:sz w:val="22"/>
        </w:rPr>
        <w:t xml:space="preserve">” </w:t>
      </w:r>
      <w:r w:rsidR="00085E02">
        <w:rPr>
          <w:sz w:val="22"/>
        </w:rPr>
        <w:t>(pp)</w:t>
      </w:r>
    </w:p>
    <w:p w:rsidR="00085E02" w:rsidRDefault="00732A87">
      <w:pPr>
        <w:widowControl/>
        <w:rPr>
          <w:sz w:val="22"/>
        </w:rPr>
      </w:pPr>
      <w:r>
        <w:rPr>
          <w:sz w:val="22"/>
        </w:rPr>
        <w:t>“</w:t>
      </w:r>
      <w:r w:rsidR="00085E02">
        <w:rPr>
          <w:i/>
          <w:sz w:val="22"/>
        </w:rPr>
        <w:t>A direction under paragraph (3) need not be complied with if to do so would endanger the lives of persons on board or the safety of the aircraft.</w:t>
      </w:r>
      <w:r w:rsidR="00085E02">
        <w:rPr>
          <w:sz w:val="22"/>
        </w:rPr>
        <w:t>” (p6)</w:t>
      </w:r>
    </w:p>
    <w:p w:rsidR="00085E02" w:rsidRDefault="00085E02">
      <w:pPr>
        <w:widowControl/>
        <w:rPr>
          <w:sz w:val="22"/>
        </w:rPr>
      </w:pPr>
    </w:p>
    <w:p w:rsidR="00085E02" w:rsidRDefault="00085E02">
      <w:pPr>
        <w:widowControl/>
        <w:ind w:left="720"/>
        <w:rPr>
          <w:b/>
          <w:sz w:val="22"/>
        </w:rPr>
      </w:pPr>
      <w:r>
        <w:rPr>
          <w:b/>
          <w:sz w:val="22"/>
        </w:rPr>
        <w:t>SECTION 1: PART 19</w:t>
      </w:r>
    </w:p>
    <w:p w:rsidR="00085E02" w:rsidRDefault="00085E02">
      <w:pPr>
        <w:widowControl/>
        <w:ind w:left="720"/>
        <w:rPr>
          <w:b/>
          <w:sz w:val="22"/>
        </w:rPr>
      </w:pPr>
      <w:r>
        <w:rPr>
          <w:b/>
          <w:sz w:val="22"/>
        </w:rPr>
        <w:t>Prohibited Behaviour</w:t>
      </w:r>
    </w:p>
    <w:p w:rsidR="00085E02" w:rsidRDefault="00085E02">
      <w:pPr>
        <w:widowControl/>
        <w:ind w:left="720"/>
        <w:rPr>
          <w:b/>
          <w:sz w:val="22"/>
        </w:rPr>
      </w:pPr>
    </w:p>
    <w:p w:rsidR="00085E02" w:rsidRDefault="00085E02">
      <w:pPr>
        <w:widowControl/>
        <w:ind w:left="720"/>
        <w:rPr>
          <w:b/>
        </w:rPr>
      </w:pPr>
      <w:r>
        <w:rPr>
          <w:b/>
        </w:rPr>
        <w:t xml:space="preserve">s137 Endangering safety of an aircraft </w:t>
      </w:r>
    </w:p>
    <w:p w:rsidR="00085E02" w:rsidRDefault="00085E02">
      <w:pPr>
        <w:widowControl/>
        <w:ind w:left="1440"/>
        <w:rPr>
          <w:sz w:val="22"/>
        </w:rPr>
      </w:pPr>
      <w:r>
        <w:rPr>
          <w:sz w:val="22"/>
        </w:rPr>
        <w:t xml:space="preserve">A person must </w:t>
      </w:r>
      <w:r>
        <w:rPr>
          <w:b/>
          <w:i/>
          <w:sz w:val="22"/>
        </w:rPr>
        <w:t>not recklessly or negligently act in a manner likely to</w:t>
      </w:r>
      <w:r>
        <w:rPr>
          <w:sz w:val="22"/>
        </w:rPr>
        <w:t xml:space="preserve"> endanger an aircraft, </w:t>
      </w:r>
      <w:r>
        <w:rPr>
          <w:b/>
          <w:i/>
          <w:sz w:val="22"/>
        </w:rPr>
        <w:t xml:space="preserve">or any person in </w:t>
      </w:r>
      <w:r>
        <w:rPr>
          <w:sz w:val="22"/>
        </w:rPr>
        <w:t>an aircraft.</w:t>
      </w:r>
    </w:p>
    <w:p w:rsidR="00085E02" w:rsidRDefault="00085E02">
      <w:pPr>
        <w:widowControl/>
        <w:ind w:left="720"/>
        <w:rPr>
          <w:sz w:val="22"/>
        </w:rPr>
      </w:pPr>
    </w:p>
    <w:p w:rsidR="00085E02" w:rsidRDefault="00085E02">
      <w:pPr>
        <w:widowControl/>
        <w:ind w:left="720"/>
        <w:rPr>
          <w:b/>
        </w:rPr>
      </w:pPr>
      <w:r>
        <w:rPr>
          <w:b/>
        </w:rPr>
        <w:t>s138 Endangering safety of any person or property</w:t>
      </w:r>
    </w:p>
    <w:p w:rsidR="00085E02" w:rsidRDefault="00085E02">
      <w:pPr>
        <w:widowControl/>
        <w:ind w:left="1440"/>
        <w:rPr>
          <w:sz w:val="22"/>
        </w:rPr>
      </w:pPr>
      <w:r>
        <w:rPr>
          <w:sz w:val="22"/>
        </w:rPr>
        <w:t xml:space="preserve">A person must </w:t>
      </w:r>
      <w:r>
        <w:rPr>
          <w:b/>
          <w:i/>
          <w:sz w:val="22"/>
        </w:rPr>
        <w:t>not recklessly or negligently cause or permit</w:t>
      </w:r>
      <w:r>
        <w:rPr>
          <w:sz w:val="22"/>
        </w:rPr>
        <w:t xml:space="preserve"> an aircraft to endanger </w:t>
      </w:r>
      <w:r>
        <w:rPr>
          <w:b/>
          <w:i/>
          <w:sz w:val="22"/>
        </w:rPr>
        <w:t xml:space="preserve">any </w:t>
      </w:r>
      <w:r>
        <w:rPr>
          <w:sz w:val="22"/>
        </w:rPr>
        <w:t xml:space="preserve">person </w:t>
      </w:r>
      <w:r>
        <w:rPr>
          <w:b/>
          <w:i/>
          <w:sz w:val="22"/>
        </w:rPr>
        <w:t>or</w:t>
      </w:r>
      <w:r>
        <w:rPr>
          <w:sz w:val="22"/>
        </w:rPr>
        <w:t xml:space="preserve"> property.</w:t>
      </w:r>
    </w:p>
    <w:p w:rsidR="00085E02" w:rsidRDefault="00085E02">
      <w:pPr>
        <w:widowControl/>
        <w:ind w:left="720"/>
        <w:rPr>
          <w:sz w:val="22"/>
        </w:rPr>
      </w:pPr>
    </w:p>
    <w:p w:rsidR="00085E02" w:rsidRDefault="00085E02">
      <w:pPr>
        <w:widowControl/>
        <w:ind w:left="720"/>
        <w:rPr>
          <w:sz w:val="22"/>
        </w:rPr>
      </w:pPr>
      <w:r>
        <w:rPr>
          <w:sz w:val="22"/>
        </w:rPr>
        <w:t xml:space="preserve">Also </w:t>
      </w:r>
      <w:r>
        <w:rPr>
          <w:b/>
        </w:rPr>
        <w:t>s.141 &amp; 142</w:t>
      </w:r>
      <w:r>
        <w:rPr>
          <w:sz w:val="22"/>
        </w:rPr>
        <w:t xml:space="preserve"> as per the CPS equivalents above - namely “threats” and “obey lawful commands” </w:t>
      </w:r>
      <w:r w:rsidR="00732A87">
        <w:rPr>
          <w:i/>
          <w:sz w:val="22"/>
        </w:rPr>
        <w:t>carol</w:t>
      </w:r>
      <w:r>
        <w:rPr>
          <w:i/>
          <w:sz w:val="22"/>
        </w:rPr>
        <w:t xml:space="preserve">’ being: </w:t>
      </w:r>
      <w:r w:rsidR="00732A87">
        <w:rPr>
          <w:sz w:val="22"/>
        </w:rPr>
        <w:t>“disobey” or “counter</w:t>
      </w:r>
      <w:r>
        <w:rPr>
          <w:sz w:val="22"/>
        </w:rPr>
        <w:t>mand”</w:t>
      </w:r>
    </w:p>
    <w:p w:rsidR="00085E02" w:rsidRDefault="00085E02">
      <w:pPr>
        <w:widowControl/>
        <w:rPr>
          <w:sz w:val="22"/>
        </w:rPr>
      </w:pPr>
    </w:p>
    <w:p w:rsidR="00085E02" w:rsidRDefault="00085E02">
      <w:pPr>
        <w:widowControl/>
        <w:rPr>
          <w:sz w:val="22"/>
        </w:rPr>
      </w:pPr>
      <w:r>
        <w:rPr>
          <w:sz w:val="22"/>
        </w:rPr>
        <w:t>I will presume that the CPS references being outdated unwittingly may refer to correct sections as per ANO in effect at material time, amend as necessary.</w:t>
      </w:r>
    </w:p>
    <w:p w:rsidR="00085E02" w:rsidRDefault="00085E02">
      <w:pPr>
        <w:widowControl/>
        <w:rPr>
          <w:sz w:val="22"/>
        </w:rPr>
      </w:pPr>
    </w:p>
    <w:p w:rsidR="00085E02" w:rsidRDefault="00085E02">
      <w:pPr>
        <w:widowControl/>
        <w:rPr>
          <w:sz w:val="22"/>
        </w:rPr>
      </w:pPr>
      <w:r>
        <w:rPr>
          <w:sz w:val="22"/>
        </w:rPr>
        <w:t xml:space="preserve">There is evidence to suggest that an offence of </w:t>
      </w:r>
      <w:r>
        <w:rPr>
          <w:b/>
          <w:sz w:val="22"/>
        </w:rPr>
        <w:t>Hijacking</w:t>
      </w:r>
      <w:r>
        <w:rPr>
          <w:sz w:val="22"/>
        </w:rPr>
        <w:t xml:space="preserve"> under</w:t>
      </w:r>
      <w:r>
        <w:rPr>
          <w:b/>
          <w:sz w:val="22"/>
        </w:rPr>
        <w:t xml:space="preserve"> s1 ASA</w:t>
      </w:r>
      <w:r>
        <w:rPr>
          <w:sz w:val="22"/>
        </w:rPr>
        <w:t xml:space="preserve"> may be applicable under the unusual substantive circumstances of the incident; dependent upon meaning of compulsion.</w:t>
      </w:r>
    </w:p>
    <w:p w:rsidR="00085E02" w:rsidRDefault="00085E02">
      <w:pPr>
        <w:widowControl/>
        <w:rPr>
          <w:sz w:val="22"/>
        </w:rPr>
      </w:pPr>
    </w:p>
    <w:p w:rsidR="00085E02" w:rsidRDefault="00085E02">
      <w:pPr>
        <w:widowControl/>
        <w:rPr>
          <w:sz w:val="22"/>
        </w:rPr>
      </w:pPr>
      <w:r>
        <w:rPr>
          <w:sz w:val="22"/>
        </w:rPr>
        <w:t>Also relevant sections pertaining to</w:t>
      </w:r>
      <w:r>
        <w:rPr>
          <w:b/>
          <w:i/>
          <w:sz w:val="22"/>
        </w:rPr>
        <w:t xml:space="preserve"> safety to an aerodrome</w:t>
      </w:r>
      <w:r w:rsidR="00732A87">
        <w:rPr>
          <w:sz w:val="22"/>
        </w:rPr>
        <w:t xml:space="preserve"> </w:t>
      </w:r>
      <w:r>
        <w:rPr>
          <w:sz w:val="22"/>
        </w:rPr>
        <w:t>(</w:t>
      </w:r>
      <w:r>
        <w:rPr>
          <w:b/>
          <w:sz w:val="22"/>
        </w:rPr>
        <w:t>s.21 ASA</w:t>
      </w:r>
      <w:r>
        <w:rPr>
          <w:sz w:val="22"/>
        </w:rPr>
        <w:t xml:space="preserve">) &amp; </w:t>
      </w:r>
      <w:r>
        <w:rPr>
          <w:b/>
          <w:i/>
          <w:sz w:val="22"/>
        </w:rPr>
        <w:t>ATC</w:t>
      </w:r>
      <w:r>
        <w:rPr>
          <w:sz w:val="22"/>
        </w:rPr>
        <w:t xml:space="preserve"> complicity.</w:t>
      </w:r>
    </w:p>
    <w:p w:rsidR="00085E02" w:rsidRDefault="00085E02">
      <w:pPr>
        <w:widowControl/>
        <w:rPr>
          <w:sz w:val="22"/>
        </w:rPr>
      </w:pPr>
    </w:p>
    <w:p w:rsidR="00085E02" w:rsidRDefault="00085E02">
      <w:pPr>
        <w:widowControl/>
        <w:rPr>
          <w:sz w:val="22"/>
        </w:rPr>
      </w:pPr>
    </w:p>
    <w:p w:rsidR="00085E02" w:rsidRDefault="00085E02">
      <w:pPr>
        <w:widowControl/>
        <w:rPr>
          <w:b/>
          <w:u w:val="single"/>
        </w:rPr>
      </w:pPr>
      <w:r>
        <w:rPr>
          <w:b/>
          <w:u w:val="single"/>
        </w:rPr>
        <w:t>Offences are:</w:t>
      </w:r>
    </w:p>
    <w:p w:rsidR="00085E02" w:rsidRDefault="00732A87">
      <w:pPr>
        <w:widowControl/>
        <w:rPr>
          <w:sz w:val="22"/>
        </w:rPr>
      </w:pPr>
      <w:r>
        <w:rPr>
          <w:sz w:val="22"/>
        </w:rPr>
        <w:t>INDICTABLE ONLY</w:t>
      </w:r>
      <w:r w:rsidR="00085E02">
        <w:rPr>
          <w:sz w:val="22"/>
        </w:rPr>
        <w:t>, CLASS B or CLASS 3 offences (depending on classification by different elements of criminal justice system). Majority subject to imprisonment for life on sentencing.</w:t>
      </w:r>
    </w:p>
    <w:p w:rsidR="00085E02" w:rsidRDefault="00085E02">
      <w:pPr>
        <w:widowControl/>
        <w:rPr>
          <w:sz w:val="22"/>
        </w:rPr>
      </w:pPr>
    </w:p>
    <w:p w:rsidR="00085E02" w:rsidRDefault="00085E02">
      <w:pPr>
        <w:widowControl/>
        <w:rPr>
          <w:b/>
          <w:sz w:val="22"/>
          <w:u w:val="single"/>
        </w:rPr>
      </w:pPr>
      <w:r>
        <w:rPr>
          <w:b/>
          <w:sz w:val="22"/>
          <w:u w:val="single"/>
        </w:rPr>
        <w:t>Offenders capable of indictment under such provisions:</w:t>
      </w:r>
    </w:p>
    <w:p w:rsidR="00085E02" w:rsidRDefault="00085E02">
      <w:pPr>
        <w:widowControl/>
        <w:rPr>
          <w:sz w:val="22"/>
        </w:rPr>
      </w:pPr>
      <w:r>
        <w:rPr>
          <w:sz w:val="22"/>
        </w:rPr>
        <w:t xml:space="preserve">Members &amp; former members of South Wales Constabulary, NATS, CAA and Dolmans solicitors; </w:t>
      </w:r>
      <w:r>
        <w:rPr>
          <w:b/>
          <w:sz w:val="22"/>
        </w:rPr>
        <w:t>which is not an exhaustive list</w:t>
      </w:r>
      <w:r>
        <w:rPr>
          <w:sz w:val="22"/>
        </w:rPr>
        <w:t>.</w:t>
      </w:r>
    </w:p>
    <w:p w:rsidR="00085E02" w:rsidRDefault="00085E02">
      <w:pPr>
        <w:widowControl/>
        <w:rPr>
          <w:sz w:val="22"/>
        </w:rPr>
      </w:pPr>
    </w:p>
    <w:p w:rsidR="00085E02" w:rsidRDefault="00085E02">
      <w:pPr>
        <w:widowControl/>
        <w:rPr>
          <w:sz w:val="22"/>
        </w:rPr>
      </w:pPr>
      <w:r>
        <w:rPr>
          <w:sz w:val="22"/>
        </w:rPr>
        <w:t>Named indviduals (though not those ultimately directing proscribed conduct) to include:</w:t>
      </w:r>
    </w:p>
    <w:p w:rsidR="00085E02" w:rsidRDefault="00085E02">
      <w:pPr>
        <w:widowControl/>
        <w:rPr>
          <w:sz w:val="22"/>
        </w:rPr>
      </w:pPr>
    </w:p>
    <w:p w:rsidR="00085E02" w:rsidRDefault="00085E02">
      <w:pPr>
        <w:widowControl/>
        <w:rPr>
          <w:sz w:val="22"/>
        </w:rPr>
      </w:pPr>
      <w:r>
        <w:rPr>
          <w:sz w:val="22"/>
        </w:rPr>
        <w:t xml:space="preserve">Pauline Walters </w:t>
      </w:r>
      <w:r>
        <w:rPr>
          <w:sz w:val="22"/>
        </w:rPr>
        <w:tab/>
        <w:t>(DOB 6.12.1958)</w:t>
      </w:r>
    </w:p>
    <w:p w:rsidR="00085E02" w:rsidRDefault="00085E02">
      <w:pPr>
        <w:widowControl/>
        <w:rPr>
          <w:sz w:val="22"/>
        </w:rPr>
      </w:pPr>
      <w:r>
        <w:rPr>
          <w:sz w:val="22"/>
        </w:rPr>
        <w:t xml:space="preserve">Paul Hayes </w:t>
      </w:r>
      <w:r>
        <w:rPr>
          <w:sz w:val="22"/>
        </w:rPr>
        <w:tab/>
        <w:t xml:space="preserve">  </w:t>
      </w:r>
      <w:r>
        <w:rPr>
          <w:sz w:val="22"/>
        </w:rPr>
        <w:tab/>
        <w:t>(DOB 31.8.1960)</w:t>
      </w:r>
    </w:p>
    <w:p w:rsidR="00085E02" w:rsidRDefault="00085E02">
      <w:pPr>
        <w:widowControl/>
        <w:rPr>
          <w:sz w:val="22"/>
        </w:rPr>
      </w:pPr>
      <w:r>
        <w:rPr>
          <w:sz w:val="22"/>
        </w:rPr>
        <w:t>James Moseley</w:t>
      </w:r>
      <w:r>
        <w:rPr>
          <w:sz w:val="22"/>
        </w:rPr>
        <w:tab/>
      </w:r>
      <w:r>
        <w:rPr>
          <w:sz w:val="22"/>
        </w:rPr>
        <w:tab/>
        <w:t>f</w:t>
      </w:r>
      <w:r w:rsidR="00732A87">
        <w:rPr>
          <w:sz w:val="22"/>
        </w:rPr>
        <w:t>o</w:t>
      </w:r>
      <w:r>
        <w:rPr>
          <w:sz w:val="22"/>
        </w:rPr>
        <w:t>mrly of Veritair Aviation Ltd (? as conflict on founding date 1982 v 2008)</w:t>
      </w:r>
    </w:p>
    <w:p w:rsidR="00085E02" w:rsidRDefault="00085E02">
      <w:pPr>
        <w:widowControl/>
        <w:rPr>
          <w:sz w:val="22"/>
        </w:rPr>
      </w:pPr>
      <w:r>
        <w:rPr>
          <w:sz w:val="22"/>
        </w:rPr>
        <w:t xml:space="preserve">Philip Bracegirdle </w:t>
      </w:r>
      <w:r>
        <w:rPr>
          <w:sz w:val="22"/>
        </w:rPr>
        <w:tab/>
        <w:t>(DOB 22.2.1956)</w:t>
      </w:r>
    </w:p>
    <w:p w:rsidR="00085E02" w:rsidRDefault="00085E02">
      <w:pPr>
        <w:widowControl/>
        <w:rPr>
          <w:sz w:val="22"/>
        </w:rPr>
      </w:pPr>
    </w:p>
    <w:p w:rsidR="00085E02" w:rsidRDefault="00085E02">
      <w:pPr>
        <w:widowControl/>
        <w:rPr>
          <w:sz w:val="22"/>
        </w:rPr>
      </w:pPr>
    </w:p>
    <w:p w:rsidR="00085E02" w:rsidRDefault="00732A87">
      <w:pPr>
        <w:widowControl/>
        <w:rPr>
          <w:sz w:val="22"/>
        </w:rPr>
      </w:pPr>
      <w:r>
        <w:rPr>
          <w:sz w:val="22"/>
        </w:rPr>
        <w:t>Former</w:t>
      </w:r>
      <w:r w:rsidR="00085E02">
        <w:rPr>
          <w:sz w:val="22"/>
        </w:rPr>
        <w:t xml:space="preserve"> Insp Williams, CACR.</w:t>
      </w:r>
    </w:p>
    <w:p w:rsidR="00085E02" w:rsidRDefault="00085E02">
      <w:pPr>
        <w:widowControl/>
        <w:rPr>
          <w:sz w:val="22"/>
        </w:rPr>
      </w:pPr>
      <w:r>
        <w:rPr>
          <w:sz w:val="22"/>
        </w:rPr>
        <w:t>f</w:t>
      </w:r>
      <w:r w:rsidR="00732A87">
        <w:rPr>
          <w:sz w:val="22"/>
        </w:rPr>
        <w:t>o</w:t>
      </w:r>
      <w:r>
        <w:rPr>
          <w:sz w:val="22"/>
        </w:rPr>
        <w:t>m</w:t>
      </w:r>
      <w:r w:rsidR="00732A87">
        <w:rPr>
          <w:sz w:val="22"/>
        </w:rPr>
        <w:t>e</w:t>
      </w:r>
      <w:r>
        <w:rPr>
          <w:sz w:val="22"/>
        </w:rPr>
        <w:t>r Insp Merrett, CACR/Bridgend</w:t>
      </w:r>
    </w:p>
    <w:p w:rsidR="00085E02" w:rsidRDefault="00085E02">
      <w:pPr>
        <w:widowControl/>
        <w:rPr>
          <w:sz w:val="22"/>
        </w:rPr>
      </w:pPr>
      <w:r>
        <w:rPr>
          <w:sz w:val="22"/>
        </w:rPr>
        <w:t>Barbara Wilding</w:t>
      </w:r>
    </w:p>
    <w:p w:rsidR="00085E02" w:rsidRDefault="00085E02">
      <w:pPr>
        <w:widowControl/>
        <w:rPr>
          <w:sz w:val="22"/>
        </w:rPr>
      </w:pPr>
      <w:r>
        <w:rPr>
          <w:sz w:val="22"/>
        </w:rPr>
        <w:t>Leyton Hill, counsel</w:t>
      </w:r>
    </w:p>
    <w:p w:rsidR="00085E02" w:rsidRDefault="00085E02">
      <w:pPr>
        <w:widowControl/>
        <w:rPr>
          <w:sz w:val="22"/>
        </w:rPr>
      </w:pPr>
      <w:r>
        <w:rPr>
          <w:sz w:val="22"/>
        </w:rPr>
        <w:t>Adrian Oliver, solicitor</w:t>
      </w:r>
    </w:p>
    <w:p w:rsidR="00085E02" w:rsidRDefault="00085E02">
      <w:pPr>
        <w:widowControl/>
        <w:rPr>
          <w:sz w:val="22"/>
        </w:rPr>
      </w:pPr>
      <w:r>
        <w:rPr>
          <w:sz w:val="22"/>
        </w:rPr>
        <w:t>Lloyd Williams QC</w:t>
      </w:r>
    </w:p>
    <w:p w:rsidR="00085E02" w:rsidRDefault="00085E02">
      <w:pPr>
        <w:widowControl/>
        <w:rPr>
          <w:sz w:val="22"/>
        </w:rPr>
      </w:pPr>
    </w:p>
    <w:p w:rsidR="00085E02" w:rsidRDefault="00085E02">
      <w:pPr>
        <w:widowControl/>
        <w:rPr>
          <w:sz w:val="22"/>
        </w:rPr>
      </w:pPr>
      <w:r>
        <w:rPr>
          <w:sz w:val="22"/>
        </w:rPr>
        <w:t xml:space="preserve">Due </w:t>
      </w:r>
      <w:r w:rsidR="00732A87">
        <w:rPr>
          <w:sz w:val="22"/>
        </w:rPr>
        <w:t>to the misconduct in recording</w:t>
      </w:r>
      <w:r>
        <w:rPr>
          <w:sz w:val="22"/>
        </w:rPr>
        <w:t xml:space="preserve">, falsification and disclosure of information, identifying additional parties to at this time is </w:t>
      </w:r>
      <w:r w:rsidR="00732A87">
        <w:rPr>
          <w:sz w:val="22"/>
        </w:rPr>
        <w:t>frustrated</w:t>
      </w:r>
      <w:r>
        <w:rPr>
          <w:sz w:val="22"/>
        </w:rPr>
        <w:t>, there will be ma</w:t>
      </w:r>
      <w:r w:rsidR="00732A87">
        <w:rPr>
          <w:sz w:val="22"/>
        </w:rPr>
        <w:t>ny from at least seven organisations</w:t>
      </w:r>
      <w:r>
        <w:rPr>
          <w:sz w:val="22"/>
        </w:rPr>
        <w:t>:</w:t>
      </w:r>
    </w:p>
    <w:p w:rsidR="00085E02" w:rsidRDefault="00085E02">
      <w:pPr>
        <w:widowControl/>
        <w:rPr>
          <w:sz w:val="22"/>
        </w:rPr>
      </w:pPr>
    </w:p>
    <w:p w:rsidR="00085E02" w:rsidRDefault="00085E02">
      <w:pPr>
        <w:widowControl/>
        <w:rPr>
          <w:sz w:val="22"/>
        </w:rPr>
      </w:pPr>
      <w:r>
        <w:rPr>
          <w:sz w:val="22"/>
        </w:rPr>
        <w:t>Mr Ken Lilley, fmr Head of A.R.E.&amp; I, C.A.A. House, 45-59 Kingsway, London -   will likely have some culpability, but may ion large part be unwitting accomplice; as stated: at this early stage before a competent investigation, properly resourced, has commenced stronger allegations are imprudent.</w:t>
      </w:r>
    </w:p>
    <w:p w:rsidR="00085E02" w:rsidRDefault="00085E02">
      <w:pPr>
        <w:widowControl/>
        <w:rPr>
          <w:sz w:val="22"/>
        </w:rPr>
      </w:pPr>
    </w:p>
    <w:p w:rsidR="00085E02" w:rsidRDefault="00085E02">
      <w:pPr>
        <w:widowControl/>
        <w:rPr>
          <w:sz w:val="22"/>
        </w:rPr>
      </w:pPr>
      <w:r>
        <w:rPr>
          <w:sz w:val="22"/>
        </w:rPr>
        <w:t xml:space="preserve">CB Willis </w:t>
      </w:r>
    </w:p>
    <w:p w:rsidR="00085E02" w:rsidRDefault="00085E02">
      <w:pPr>
        <w:widowControl/>
        <w:rPr>
          <w:sz w:val="22"/>
        </w:rPr>
      </w:pPr>
      <w:r>
        <w:rPr>
          <w:sz w:val="22"/>
        </w:rPr>
        <w:t>FM Leighton</w:t>
      </w:r>
    </w:p>
    <w:p w:rsidR="00085E02" w:rsidRDefault="00085E02">
      <w:pPr>
        <w:widowControl/>
        <w:rPr>
          <w:sz w:val="22"/>
        </w:rPr>
      </w:pPr>
    </w:p>
    <w:p w:rsidR="00085E02" w:rsidRDefault="00085E02">
      <w:pPr>
        <w:widowControl/>
        <w:rPr>
          <w:sz w:val="22"/>
        </w:rPr>
      </w:pPr>
    </w:p>
    <w:p w:rsidR="00085E02" w:rsidRDefault="00085E02">
      <w:pPr>
        <w:widowControl/>
        <w:rPr>
          <w:sz w:val="22"/>
        </w:rPr>
      </w:pPr>
    </w:p>
    <w:p w:rsidR="00085E02" w:rsidRDefault="00085E02">
      <w:pPr>
        <w:widowControl/>
        <w:rPr>
          <w:sz w:val="22"/>
        </w:rPr>
      </w:pPr>
    </w:p>
    <w:p w:rsidR="00085E02" w:rsidRDefault="00085E02">
      <w:pPr>
        <w:widowControl/>
        <w:rPr>
          <w:b/>
        </w:rPr>
      </w:pPr>
      <w:r>
        <w:rPr>
          <w:b/>
        </w:rPr>
        <w:t>Detail and Circumstances Offences - Preliminary list:</w:t>
      </w:r>
    </w:p>
    <w:p w:rsidR="00085E02" w:rsidRDefault="00085E02">
      <w:pPr>
        <w:widowControl/>
        <w:rPr>
          <w:sz w:val="22"/>
        </w:rPr>
      </w:pPr>
      <w:r>
        <w:rPr>
          <w:sz w:val="22"/>
        </w:rPr>
        <w:t xml:space="preserve">All matters relate to unreasonable &amp; </w:t>
      </w:r>
      <w:r w:rsidR="00732A87">
        <w:rPr>
          <w:sz w:val="22"/>
        </w:rPr>
        <w:t>disproportioned</w:t>
      </w:r>
      <w:r>
        <w:rPr>
          <w:sz w:val="22"/>
        </w:rPr>
        <w:t xml:space="preserve"> conduct.</w:t>
      </w:r>
    </w:p>
    <w:p w:rsidR="00085E02" w:rsidRDefault="00085E02">
      <w:pPr>
        <w:widowControl/>
        <w:rPr>
          <w:sz w:val="22"/>
        </w:rPr>
      </w:pPr>
    </w:p>
    <w:p w:rsidR="00085E02" w:rsidRDefault="00085E02">
      <w:pPr>
        <w:widowControl/>
        <w:rPr>
          <w:sz w:val="22"/>
        </w:rPr>
      </w:pPr>
      <w:r>
        <w:rPr>
          <w:sz w:val="22"/>
        </w:rPr>
        <w:t xml:space="preserve">That on </w:t>
      </w:r>
      <w:r w:rsidR="00732A87">
        <w:rPr>
          <w:sz w:val="22"/>
        </w:rPr>
        <w:t>6th July 1999, approx 6pm ZULU,</w:t>
      </w:r>
      <w:r>
        <w:rPr>
          <w:sz w:val="22"/>
        </w:rPr>
        <w:t xml:space="preserve"> the defendants did operate a helicopter, a Twin Squirrel G-SAEW call</w:t>
      </w:r>
      <w:r w:rsidR="005F2BAF">
        <w:rPr>
          <w:sz w:val="22"/>
        </w:rPr>
        <w:t xml:space="preserve"> </w:t>
      </w:r>
      <w:r>
        <w:rPr>
          <w:sz w:val="22"/>
        </w:rPr>
        <w:t>sign “WO99“, in a manner that it endangered the safety of said helicopter and another aircraft, a Piper Cub, registration G-KIRK; the act being at best grossly negligent and not in accordance with variably CAA s61, ANO (Air Navigation Order), CAP612 c8, ASA 1982 &amp; AMSA 1990.</w:t>
      </w:r>
    </w:p>
    <w:p w:rsidR="00085E02" w:rsidRDefault="00085E02">
      <w:pPr>
        <w:widowControl/>
        <w:rPr>
          <w:sz w:val="22"/>
        </w:rPr>
      </w:pPr>
    </w:p>
    <w:p w:rsidR="00085E02" w:rsidRDefault="00085E02">
      <w:pPr>
        <w:widowControl/>
        <w:rPr>
          <w:sz w:val="22"/>
        </w:rPr>
      </w:pPr>
      <w:r>
        <w:rPr>
          <w:sz w:val="22"/>
        </w:rPr>
        <w:t xml:space="preserve">As above but supplement “negligent” with “without regard for law did deliberately and callously endanger another aircraft for no lawful or reasonable purpose, or that it be deemed reasonable then of </w:t>
      </w:r>
      <w:r w:rsidR="005F2BAF">
        <w:rPr>
          <w:sz w:val="22"/>
        </w:rPr>
        <w:t>disproportionate</w:t>
      </w:r>
      <w:r>
        <w:rPr>
          <w:sz w:val="22"/>
        </w:rPr>
        <w:t xml:space="preserve"> conception fuelled by improper motives.</w:t>
      </w:r>
    </w:p>
    <w:p w:rsidR="00085E02" w:rsidRDefault="00085E02">
      <w:pPr>
        <w:widowControl/>
        <w:rPr>
          <w:sz w:val="22"/>
        </w:rPr>
      </w:pPr>
    </w:p>
    <w:p w:rsidR="00085E02" w:rsidRDefault="00085E02">
      <w:pPr>
        <w:widowControl/>
        <w:rPr>
          <w:sz w:val="22"/>
        </w:rPr>
      </w:pPr>
      <w:r>
        <w:rPr>
          <w:sz w:val="22"/>
        </w:rPr>
        <w:t xml:space="preserve">That on 6th July 1999, in violation of almost every single provision of the entire Chapter on such flight procedures encompassed in </w:t>
      </w:r>
      <w:r w:rsidR="005F2BAF">
        <w:rPr>
          <w:sz w:val="22"/>
        </w:rPr>
        <w:t>a single</w:t>
      </w:r>
      <w:r>
        <w:rPr>
          <w:sz w:val="22"/>
        </w:rPr>
        <w:t xml:space="preserve"> incident lasted some 15minutes. So many in fact, and of such permutations, that attempting it at this stage is </w:t>
      </w:r>
      <w:r w:rsidR="005F2BAF">
        <w:rPr>
          <w:sz w:val="22"/>
        </w:rPr>
        <w:t>unwarranted, a</w:t>
      </w:r>
      <w:r>
        <w:rPr>
          <w:sz w:val="22"/>
        </w:rPr>
        <w:t xml:space="preserve"> s the breaches were of such magnitude and theat there be so many, the </w:t>
      </w:r>
      <w:r w:rsidR="005F2BAF">
        <w:rPr>
          <w:sz w:val="22"/>
        </w:rPr>
        <w:t>constitution</w:t>
      </w:r>
      <w:r>
        <w:rPr>
          <w:sz w:val="22"/>
        </w:rPr>
        <w:t xml:space="preserve"> of which relevant charges is rendered moot. (CAP612).  Such manoeuvres required “the greatest caution”, </w:t>
      </w:r>
      <w:r w:rsidR="005F2BAF">
        <w:rPr>
          <w:sz w:val="22"/>
        </w:rPr>
        <w:t>prescribed</w:t>
      </w:r>
      <w:r>
        <w:rPr>
          <w:sz w:val="22"/>
        </w:rPr>
        <w:t xml:space="preserve"> under ANO, they required communication and restraint; they were entirely futile as there was no foreseeable possibility to achieve the purpose </w:t>
      </w:r>
      <w:r w:rsidR="005F2BAF">
        <w:rPr>
          <w:sz w:val="22"/>
        </w:rPr>
        <w:t>preferred</w:t>
      </w:r>
      <w:r>
        <w:rPr>
          <w:sz w:val="22"/>
        </w:rPr>
        <w:t xml:space="preserve"> ex post facto, thus were on the balance of probabilities for improper purposes and ulterior motives</w:t>
      </w:r>
    </w:p>
    <w:p w:rsidR="00085E02" w:rsidRDefault="00085E02">
      <w:pPr>
        <w:widowControl/>
        <w:rPr>
          <w:sz w:val="22"/>
        </w:rPr>
      </w:pPr>
    </w:p>
    <w:p w:rsidR="00085E02" w:rsidRDefault="00085E02">
      <w:pPr>
        <w:widowControl/>
        <w:rPr>
          <w:b/>
          <w:sz w:val="22"/>
        </w:rPr>
      </w:pPr>
      <w:r>
        <w:rPr>
          <w:b/>
          <w:sz w:val="22"/>
        </w:rPr>
        <w:t>Proscribed conduct includes:</w:t>
      </w:r>
    </w:p>
    <w:p w:rsidR="00085E02" w:rsidRDefault="00085E02">
      <w:pPr>
        <w:widowControl/>
        <w:rPr>
          <w:sz w:val="22"/>
        </w:rPr>
      </w:pPr>
    </w:p>
    <w:p w:rsidR="00085E02" w:rsidRDefault="00085E02">
      <w:pPr>
        <w:widowControl/>
        <w:rPr>
          <w:sz w:val="22"/>
        </w:rPr>
      </w:pPr>
      <w:r>
        <w:rPr>
          <w:sz w:val="22"/>
        </w:rPr>
        <w:t>Flying to a distance of less than 60ft to G-KIRK, as testified to by TWO qualified UK licenced pilots, corroborated by off</w:t>
      </w:r>
      <w:r w:rsidR="005F2BAF">
        <w:rPr>
          <w:sz w:val="22"/>
        </w:rPr>
        <w:t>i</w:t>
      </w:r>
      <w:r>
        <w:rPr>
          <w:sz w:val="22"/>
        </w:rPr>
        <w:t>cial Police Observer PC949 (presumably qualified) whilst under oath providing testimony in court. PC 949 estimated the disatnace be more like 60-80ft, whilst attempting to embellish upto 120ft. This extremely dangerous condition remaining for as long as approx 10minutes, corroborated by the testimony of two aforementioned pilots and the laws of physics &amp; mathmatics, in that a given distance is traversed in a given time for a given velocity. The law (CAP612/8/  &amp; ANO/19/137, et al) states that SIX HUNDRED AND SIXTY FEET  (656ft, 200m) is the limit under ceratin circumstances, these of which not being met either - such that the 200m limit is for a given purpose, moving in close t</w:t>
      </w:r>
      <w:r w:rsidR="005F2BAF">
        <w:rPr>
          <w:sz w:val="22"/>
        </w:rPr>
        <w:t>o 200m (or less) for a a non-pre</w:t>
      </w:r>
      <w:r>
        <w:rPr>
          <w:sz w:val="22"/>
        </w:rPr>
        <w:t>scribed purpose is itself an offence; that it be breached to a degree of one order of magnitude (</w:t>
      </w:r>
      <w:r>
        <w:rPr>
          <w:b/>
          <w:sz w:val="22"/>
        </w:rPr>
        <w:t>60 vs 660ft</w:t>
      </w:r>
      <w:r>
        <w:rPr>
          <w:sz w:val="22"/>
        </w:rPr>
        <w:t xml:space="preserve">).    There can be no circumstances whereby </w:t>
      </w:r>
      <w:r>
        <w:rPr>
          <w:b/>
          <w:sz w:val="22"/>
        </w:rPr>
        <w:t>60 vs 660ft</w:t>
      </w:r>
      <w:r>
        <w:rPr>
          <w:sz w:val="22"/>
        </w:rPr>
        <w:t xml:space="preserve"> can be lawfully excused, notwithstanding the actual effects upon the victims.</w:t>
      </w:r>
    </w:p>
    <w:p w:rsidR="00085E02" w:rsidRDefault="00085E02">
      <w:pPr>
        <w:widowControl/>
        <w:rPr>
          <w:sz w:val="22"/>
        </w:rPr>
      </w:pPr>
    </w:p>
    <w:p w:rsidR="00085E02" w:rsidRDefault="00085E02">
      <w:pPr>
        <w:widowControl/>
        <w:rPr>
          <w:sz w:val="22"/>
        </w:rPr>
      </w:pPr>
      <w:r>
        <w:rPr>
          <w:sz w:val="22"/>
        </w:rPr>
        <w:t xml:space="preserve">Both helicopter mounted video and ATC radar logs can confirm this, but </w:t>
      </w:r>
      <w:r w:rsidR="005F2BAF">
        <w:rPr>
          <w:sz w:val="22"/>
        </w:rPr>
        <w:t>perpetrators</w:t>
      </w:r>
      <w:r>
        <w:rPr>
          <w:sz w:val="22"/>
        </w:rPr>
        <w:t xml:space="preserve"> have conspired to conceal or </w:t>
      </w:r>
      <w:r w:rsidR="005F2BAF">
        <w:rPr>
          <w:sz w:val="22"/>
        </w:rPr>
        <w:t>destroy</w:t>
      </w:r>
      <w:r>
        <w:rPr>
          <w:sz w:val="22"/>
        </w:rPr>
        <w:t xml:space="preserve"> these records. Other contemporaneous records are known to be destroyed, no meaningful investigation at the time was conducted, itself an indictable offence considering the nature of the offences. It is believed both Cardiff Internation</w:t>
      </w:r>
      <w:r w:rsidR="005F2BAF">
        <w:rPr>
          <w:sz w:val="22"/>
        </w:rPr>
        <w:t>al Airport &amp; RAF St Athan were a</w:t>
      </w:r>
      <w:r>
        <w:rPr>
          <w:sz w:val="22"/>
        </w:rPr>
        <w:t>ffected by the incident as it was conducted in Controlled Airspace about the two aerodromes.</w:t>
      </w:r>
    </w:p>
    <w:p w:rsidR="00085E02" w:rsidRDefault="00085E02">
      <w:pPr>
        <w:widowControl/>
        <w:rPr>
          <w:sz w:val="22"/>
        </w:rPr>
      </w:pPr>
    </w:p>
    <w:p w:rsidR="00085E02" w:rsidRDefault="00085E02">
      <w:pPr>
        <w:widowControl/>
        <w:rPr>
          <w:sz w:val="22"/>
        </w:rPr>
      </w:pPr>
      <w:r>
        <w:rPr>
          <w:sz w:val="22"/>
        </w:rPr>
        <w:t>That the helicopter prior to, during and after the incident deliberately and cynically failed to communicate by radio procedure its “motives and intentions” (CAP612)</w:t>
      </w:r>
      <w:r w:rsidR="005F2BAF">
        <w:rPr>
          <w:sz w:val="22"/>
        </w:rPr>
        <w:t>, again an offence in and of it</w:t>
      </w:r>
      <w:r>
        <w:rPr>
          <w:sz w:val="22"/>
        </w:rPr>
        <w:t xml:space="preserve">self (albeit with potential lawful excuse but for); but for the misconduct the radio silence was an integral part thereof, one of </w:t>
      </w:r>
      <w:r w:rsidR="005F2BAF">
        <w:rPr>
          <w:sz w:val="22"/>
        </w:rPr>
        <w:t>intimidation</w:t>
      </w:r>
      <w:r>
        <w:rPr>
          <w:sz w:val="22"/>
        </w:rPr>
        <w:t xml:space="preserve"> and severe danger. That Art2 obligations are engaged is beyond doubt, that </w:t>
      </w:r>
      <w:r w:rsidR="005F2BAF">
        <w:rPr>
          <w:sz w:val="22"/>
        </w:rPr>
        <w:t>attempted</w:t>
      </w:r>
      <w:r>
        <w:rPr>
          <w:sz w:val="22"/>
        </w:rPr>
        <w:t xml:space="preserve"> murder charges might be applicable is not, but such could be </w:t>
      </w:r>
      <w:r w:rsidR="005F2BAF">
        <w:rPr>
          <w:sz w:val="22"/>
        </w:rPr>
        <w:t>preferred</w:t>
      </w:r>
      <w:r>
        <w:rPr>
          <w:sz w:val="22"/>
        </w:rPr>
        <w:t xml:space="preserve"> given the circumstances.</w:t>
      </w:r>
    </w:p>
    <w:p w:rsidR="00085E02" w:rsidRDefault="00085E02">
      <w:pPr>
        <w:widowControl/>
        <w:rPr>
          <w:sz w:val="22"/>
        </w:rPr>
      </w:pPr>
    </w:p>
    <w:p w:rsidR="00085E02" w:rsidRDefault="00085E02">
      <w:pPr>
        <w:widowControl/>
        <w:rPr>
          <w:sz w:val="22"/>
        </w:rPr>
      </w:pPr>
      <w:r>
        <w:rPr>
          <w:sz w:val="22"/>
        </w:rPr>
        <w:t>The helicopter “</w:t>
      </w:r>
      <w:r>
        <w:rPr>
          <w:b/>
          <w:i/>
          <w:sz w:val="22"/>
        </w:rPr>
        <w:t>lost sight of</w:t>
      </w:r>
      <w:r>
        <w:rPr>
          <w:sz w:val="22"/>
        </w:rPr>
        <w:t xml:space="preserve">” the 70 year old vintage light aircraft of half its speed and manoeuverbility, </w:t>
      </w:r>
      <w:r>
        <w:rPr>
          <w:b/>
          <w:sz w:val="22"/>
        </w:rPr>
        <w:t>confirmed by multiple Police witnesses and two further pilots</w:t>
      </w:r>
      <w:r>
        <w:rPr>
          <w:sz w:val="22"/>
        </w:rPr>
        <w:t xml:space="preserve"> (with one additional pilot yet to be summoned, an ATC Controller, and </w:t>
      </w:r>
      <w:r w:rsidR="0030740E">
        <w:rPr>
          <w:sz w:val="22"/>
        </w:rPr>
        <w:t>associated</w:t>
      </w:r>
      <w:r>
        <w:rPr>
          <w:sz w:val="22"/>
        </w:rPr>
        <w:t xml:space="preserve"> sundry witnesses). This being a further offence under a different provision of the ANO/CAP612, where it is the helicopter </w:t>
      </w:r>
      <w:r w:rsidR="005F2BAF">
        <w:rPr>
          <w:sz w:val="22"/>
        </w:rPr>
        <w:t>operator’s</w:t>
      </w:r>
      <w:r>
        <w:rPr>
          <w:sz w:val="22"/>
        </w:rPr>
        <w:t xml:space="preserve"> responsibility. </w:t>
      </w:r>
    </w:p>
    <w:p w:rsidR="00085E02" w:rsidRDefault="00085E02">
      <w:pPr>
        <w:widowControl/>
        <w:rPr>
          <w:sz w:val="22"/>
        </w:rPr>
      </w:pPr>
      <w:r>
        <w:rPr>
          <w:sz w:val="22"/>
        </w:rPr>
        <w:tab/>
        <w:t>b) the reason such came about was due to the other aircraft being forced to take emergency avoiding action with commensurate loss of considerable airspeed (due to the nature &amp; design of vintage aircraft, with just a 90hp motor, and th</w:t>
      </w:r>
      <w:r w:rsidR="005F2BAF">
        <w:rPr>
          <w:sz w:val="22"/>
        </w:rPr>
        <w:t>at the flying liquidiser’s mas</w:t>
      </w:r>
      <w:r>
        <w:rPr>
          <w:sz w:val="22"/>
        </w:rPr>
        <w:t xml:space="preserve">sive whipping blades </w:t>
      </w:r>
      <w:r w:rsidR="005F2BAF">
        <w:rPr>
          <w:sz w:val="22"/>
        </w:rPr>
        <w:t>were uncomfortably close) where</w:t>
      </w:r>
      <w:r>
        <w:rPr>
          <w:sz w:val="22"/>
        </w:rPr>
        <w:t>as the sleek metal skinned 6 seater helicopter with 900hp available and approx 101600 kg m/2 of momentum versus the Cub’s 16,590 kg.m/s (less than this maximum as bleeding speed) meaning it has about SIX times the momentum of the Cub and can do only one thing - overshoot. thereby further proving beyond reasonable doubt of the true separation distance, be</w:t>
      </w:r>
      <w:r w:rsidR="005F2BAF">
        <w:rPr>
          <w:sz w:val="22"/>
        </w:rPr>
        <w:t>casue if it were the legally pres</w:t>
      </w:r>
      <w:r>
        <w:rPr>
          <w:sz w:val="22"/>
        </w:rPr>
        <w:t xml:space="preserve">cribed limit, the helicopter will have had time to “brake”, but he was </w:t>
      </w:r>
      <w:r w:rsidR="005F2BAF">
        <w:rPr>
          <w:sz w:val="22"/>
        </w:rPr>
        <w:t>preoccupied</w:t>
      </w:r>
      <w:r>
        <w:rPr>
          <w:sz w:val="22"/>
        </w:rPr>
        <w:t xml:space="preserve"> “tailgating” for want of an </w:t>
      </w:r>
      <w:r w:rsidR="005F2BAF">
        <w:rPr>
          <w:sz w:val="22"/>
        </w:rPr>
        <w:t>analogous</w:t>
      </w:r>
      <w:r>
        <w:rPr>
          <w:sz w:val="22"/>
        </w:rPr>
        <w:t xml:space="preserve"> description open for all to comprehend </w:t>
      </w:r>
      <w:r w:rsidR="005F2BAF">
        <w:rPr>
          <w:sz w:val="22"/>
        </w:rPr>
        <w:t>rather</w:t>
      </w:r>
      <w:r>
        <w:rPr>
          <w:sz w:val="22"/>
        </w:rPr>
        <w:t xml:space="preserve"> than velocities and momentum </w:t>
      </w:r>
      <w:r w:rsidR="0030740E">
        <w:rPr>
          <w:sz w:val="22"/>
        </w:rPr>
        <w:t>calculations</w:t>
      </w:r>
      <w:r>
        <w:rPr>
          <w:sz w:val="22"/>
        </w:rPr>
        <w:t xml:space="preserve">. This is verifiable independent confirmation, backed by the testimony of at least FOUR </w:t>
      </w:r>
      <w:r w:rsidR="0030740E">
        <w:rPr>
          <w:sz w:val="22"/>
        </w:rPr>
        <w:t>officially</w:t>
      </w:r>
      <w:r>
        <w:rPr>
          <w:sz w:val="22"/>
        </w:rPr>
        <w:t xml:space="preserve"> competent observers is more than sufficient to gain a conviction let alone warrant a prosecution in the first place.</w:t>
      </w:r>
    </w:p>
    <w:p w:rsidR="00085E02" w:rsidRDefault="00085E02">
      <w:pPr>
        <w:widowControl/>
        <w:rPr>
          <w:sz w:val="22"/>
        </w:rPr>
      </w:pPr>
    </w:p>
    <w:p w:rsidR="00085E02" w:rsidRDefault="00085E02">
      <w:pPr>
        <w:widowControl/>
        <w:rPr>
          <w:sz w:val="22"/>
        </w:rPr>
      </w:pPr>
      <w:r>
        <w:rPr>
          <w:sz w:val="22"/>
        </w:rPr>
        <w:t xml:space="preserve">The helicopter proceeded “on station”, to molest the small light aircraft to the ground, yet another offence in isolation, or more tellingly </w:t>
      </w:r>
      <w:r w:rsidR="0030740E">
        <w:rPr>
          <w:sz w:val="22"/>
        </w:rPr>
        <w:t>irreproachable</w:t>
      </w:r>
      <w:r>
        <w:rPr>
          <w:sz w:val="22"/>
        </w:rPr>
        <w:t xml:space="preserve"> evidence of the endangerment event in </w:t>
      </w:r>
      <w:r w:rsidR="00681DFC">
        <w:rPr>
          <w:sz w:val="22"/>
        </w:rPr>
        <w:t>its</w:t>
      </w:r>
      <w:r>
        <w:rPr>
          <w:sz w:val="22"/>
        </w:rPr>
        <w:t xml:space="preserve"> totality, as proscribed by law, as multiple police witnesses have already attested to in a court under oath, and have been accepted by High Court Judge HHJ Seys-Llewellyn sitting at Cardiff County Court.</w:t>
      </w:r>
    </w:p>
    <w:p w:rsidR="00085E02" w:rsidRDefault="00085E02">
      <w:pPr>
        <w:widowControl/>
        <w:rPr>
          <w:sz w:val="22"/>
        </w:rPr>
      </w:pPr>
    </w:p>
    <w:p w:rsidR="00085E02" w:rsidRDefault="00085E02">
      <w:pPr>
        <w:widowControl/>
        <w:rPr>
          <w:sz w:val="22"/>
        </w:rPr>
      </w:pPr>
      <w:r>
        <w:rPr>
          <w:sz w:val="22"/>
        </w:rPr>
        <w:t xml:space="preserve">The helicopter then proceeded to hover for about 5 minutes, over a field with horses and other livestock who were significantly distressed by the persistence of the intrusion, hence the matter of worrying livestock, an offence of which I presume maybe summary only, or triable either way.  Of lesser import by itself it adds to the totality of understanding with respect to </w:t>
      </w:r>
      <w:r w:rsidR="00681DFC">
        <w:rPr>
          <w:sz w:val="22"/>
        </w:rPr>
        <w:t>unreasonable</w:t>
      </w:r>
      <w:r>
        <w:rPr>
          <w:sz w:val="22"/>
        </w:rPr>
        <w:t xml:space="preserve"> conduct, if by this stage the imminent dangers had passed, the helicopter unanimously agreed to have operated around 500ft, the legal minimum, though no logs have been provided to corroborate.</w:t>
      </w:r>
    </w:p>
    <w:p w:rsidR="00085E02" w:rsidRDefault="00085E02">
      <w:pPr>
        <w:widowControl/>
        <w:rPr>
          <w:sz w:val="22"/>
        </w:rPr>
      </w:pPr>
    </w:p>
    <w:p w:rsidR="00085E02" w:rsidRDefault="00085E02">
      <w:pPr>
        <w:widowControl/>
        <w:rPr>
          <w:sz w:val="22"/>
        </w:rPr>
      </w:pPr>
      <w:r>
        <w:rPr>
          <w:sz w:val="22"/>
        </w:rPr>
        <w:t>It is also of note that performing a similar manoeuvre som</w:t>
      </w:r>
      <w:r w:rsidR="00681DFC">
        <w:rPr>
          <w:sz w:val="22"/>
        </w:rPr>
        <w:t>e m</w:t>
      </w:r>
      <w:r>
        <w:rPr>
          <w:sz w:val="22"/>
        </w:rPr>
        <w:t>onths later , but for merely 2mins, resulted in calamitous failure (see below) due the helicopter having been operated illegally due to a fraudulent engineering schedule; the failure was bound to happen it was just a matter of when.</w:t>
      </w:r>
    </w:p>
    <w:p w:rsidR="00085E02" w:rsidRDefault="00085E02">
      <w:pPr>
        <w:widowControl/>
        <w:rPr>
          <w:sz w:val="22"/>
        </w:rPr>
      </w:pPr>
    </w:p>
    <w:p w:rsidR="00085E02" w:rsidRDefault="00085E02">
      <w:pPr>
        <w:widowControl/>
        <w:rPr>
          <w:sz w:val="22"/>
        </w:rPr>
      </w:pPr>
      <w:r>
        <w:rPr>
          <w:sz w:val="22"/>
        </w:rPr>
        <w:t xml:space="preserve">Immediately after this, the helicopter proceeded to Cardiff Airport, whereby it apparently spent a long time replaying video of the incident to various personnel, which is corroborated by IRIS log serial no:1308 &amp; flight log 330/1308. Clearly these will all be relevant witnesses with probative evidence to central facts in issue of both </w:t>
      </w:r>
      <w:r>
        <w:rPr>
          <w:b/>
          <w:i/>
          <w:sz w:val="22"/>
        </w:rPr>
        <w:t>actus reus</w:t>
      </w:r>
      <w:r>
        <w:rPr>
          <w:sz w:val="22"/>
        </w:rPr>
        <w:t xml:space="preserve"> &amp; </w:t>
      </w:r>
      <w:r>
        <w:rPr>
          <w:b/>
          <w:i/>
          <w:sz w:val="22"/>
        </w:rPr>
        <w:t>mens rea</w:t>
      </w:r>
      <w:r>
        <w:rPr>
          <w:sz w:val="22"/>
        </w:rPr>
        <w:t>.</w:t>
      </w:r>
    </w:p>
    <w:p w:rsidR="00085E02" w:rsidRDefault="00085E02">
      <w:pPr>
        <w:widowControl/>
        <w:rPr>
          <w:sz w:val="22"/>
        </w:rPr>
      </w:pPr>
    </w:p>
    <w:p w:rsidR="00085E02" w:rsidRDefault="00085E02">
      <w:pPr>
        <w:widowControl/>
        <w:rPr>
          <w:b/>
          <w:sz w:val="22"/>
        </w:rPr>
      </w:pPr>
      <w:r>
        <w:rPr>
          <w:b/>
          <w:sz w:val="22"/>
        </w:rPr>
        <w:t>Lloyd Williams QC</w:t>
      </w:r>
      <w:r>
        <w:rPr>
          <w:sz w:val="22"/>
        </w:rPr>
        <w:t xml:space="preserve"> further corroborate the allegations in official submissions to the Court: Among others not immediately to mind was in </w:t>
      </w:r>
      <w:r>
        <w:rPr>
          <w:b/>
          <w:i/>
          <w:sz w:val="22"/>
        </w:rPr>
        <w:t xml:space="preserve">para 306 </w:t>
      </w:r>
      <w:r>
        <w:rPr>
          <w:sz w:val="22"/>
        </w:rPr>
        <w:t xml:space="preserve">of </w:t>
      </w:r>
      <w:r>
        <w:rPr>
          <w:b/>
          <w:sz w:val="22"/>
        </w:rPr>
        <w:t>Closing Submissons</w:t>
      </w:r>
      <w:r>
        <w:rPr>
          <w:sz w:val="22"/>
        </w:rPr>
        <w:t>:</w:t>
      </w:r>
    </w:p>
    <w:p w:rsidR="00085E02" w:rsidRDefault="00085E02">
      <w:pPr>
        <w:widowControl/>
        <w:rPr>
          <w:sz w:val="22"/>
        </w:rPr>
      </w:pPr>
      <w:r>
        <w:rPr>
          <w:sz w:val="22"/>
        </w:rPr>
        <w:t xml:space="preserve"> </w:t>
      </w:r>
    </w:p>
    <w:p w:rsidR="00085E02" w:rsidRDefault="00085E02">
      <w:pPr>
        <w:widowControl/>
        <w:rPr>
          <w:sz w:val="22"/>
        </w:rPr>
      </w:pPr>
      <w:r>
        <w:rPr>
          <w:sz w:val="22"/>
        </w:rPr>
        <w:t xml:space="preserve"> “</w:t>
      </w:r>
      <w:r>
        <w:rPr>
          <w:b/>
          <w:i/>
          <w:sz w:val="22"/>
        </w:rPr>
        <w:t xml:space="preserve">In addition, insofar as this incident gives rise to any cause of action, it </w:t>
      </w:r>
      <w:r>
        <w:rPr>
          <w:b/>
          <w:i/>
          <w:u w:val="single"/>
        </w:rPr>
        <w:t xml:space="preserve">must </w:t>
      </w:r>
      <w:r>
        <w:rPr>
          <w:b/>
          <w:i/>
          <w:sz w:val="22"/>
        </w:rPr>
        <w:t>be a claim in negligence</w:t>
      </w:r>
      <w:r>
        <w:rPr>
          <w:sz w:val="22"/>
        </w:rPr>
        <w:t>..”</w:t>
      </w:r>
    </w:p>
    <w:p w:rsidR="00085E02" w:rsidRDefault="00085E02">
      <w:pPr>
        <w:widowControl/>
        <w:rPr>
          <w:sz w:val="22"/>
        </w:rPr>
      </w:pPr>
    </w:p>
    <w:p w:rsidR="00085E02" w:rsidRDefault="00085E02">
      <w:pPr>
        <w:widowControl/>
        <w:rPr>
          <w:sz w:val="22"/>
        </w:rPr>
      </w:pPr>
      <w:r>
        <w:rPr>
          <w:sz w:val="22"/>
        </w:rPr>
        <w:t>Further logs have appeared to be tampered with or originally entered with misleading information in turn making the process of elucidation of evidence consequently harder.</w:t>
      </w:r>
    </w:p>
    <w:p w:rsidR="00085E02" w:rsidRDefault="00085E02">
      <w:pPr>
        <w:widowControl/>
        <w:rPr>
          <w:sz w:val="22"/>
        </w:rPr>
      </w:pPr>
    </w:p>
    <w:p w:rsidR="00085E02" w:rsidRDefault="00085E02">
      <w:pPr>
        <w:widowControl/>
        <w:rPr>
          <w:sz w:val="22"/>
        </w:rPr>
      </w:pPr>
      <w:r>
        <w:rPr>
          <w:sz w:val="22"/>
        </w:rPr>
        <w:t xml:space="preserve">There is clear unequivocal evidence of falsification of evidence as some Police involved clearly were </w:t>
      </w:r>
      <w:r w:rsidR="00681DFC">
        <w:rPr>
          <w:sz w:val="22"/>
        </w:rPr>
        <w:t>suborned</w:t>
      </w:r>
      <w:r>
        <w:rPr>
          <w:sz w:val="22"/>
        </w:rPr>
        <w:t xml:space="preserve"> to write false </w:t>
      </w:r>
      <w:r w:rsidR="00681DFC">
        <w:rPr>
          <w:sz w:val="22"/>
        </w:rPr>
        <w:t>documents</w:t>
      </w:r>
      <w:r>
        <w:rPr>
          <w:sz w:val="22"/>
        </w:rPr>
        <w:t xml:space="preserve"> (most probably not written by them at all but a </w:t>
      </w:r>
      <w:r w:rsidR="00681DFC">
        <w:rPr>
          <w:sz w:val="22"/>
        </w:rPr>
        <w:t>third</w:t>
      </w:r>
      <w:r>
        <w:rPr>
          <w:sz w:val="22"/>
        </w:rPr>
        <w:t xml:space="preserve"> party, most likely to be, but not limited to Mssrs Adrian Oliver or Leighton Hill. This has been established elsewhere and documentary evidence will follow on request / in due course.</w:t>
      </w:r>
    </w:p>
    <w:p w:rsidR="00085E02" w:rsidRDefault="00085E02">
      <w:pPr>
        <w:widowControl/>
        <w:rPr>
          <w:sz w:val="22"/>
        </w:rPr>
      </w:pPr>
    </w:p>
    <w:p w:rsidR="00085E02" w:rsidRDefault="00085E02">
      <w:pPr>
        <w:widowControl/>
        <w:rPr>
          <w:sz w:val="22"/>
        </w:rPr>
      </w:pPr>
      <w:r>
        <w:rPr>
          <w:sz w:val="22"/>
        </w:rPr>
        <w:t xml:space="preserve">As in Hillsborough or the numerous cases at the head of this document, the nature and depths of just how far some groups of outwardly upstanding and not merely law abiding, but those entrusted with the </w:t>
      </w:r>
      <w:r w:rsidR="00CE5023">
        <w:rPr>
          <w:sz w:val="22"/>
        </w:rPr>
        <w:t>wordship</w:t>
      </w:r>
      <w:r>
        <w:rPr>
          <w:sz w:val="22"/>
        </w:rPr>
        <w:t xml:space="preserve"> of the law, can fall into a cycle of misconduct in order to cover up some previous transgression, however inadvertent.</w:t>
      </w:r>
    </w:p>
    <w:p w:rsidR="00085E02" w:rsidRDefault="00085E02">
      <w:pPr>
        <w:widowControl/>
        <w:rPr>
          <w:sz w:val="22"/>
        </w:rPr>
      </w:pPr>
    </w:p>
    <w:p w:rsidR="00085E02" w:rsidRDefault="00CE5023">
      <w:pPr>
        <w:widowControl/>
        <w:rPr>
          <w:sz w:val="22"/>
        </w:rPr>
      </w:pPr>
      <w:r>
        <w:rPr>
          <w:sz w:val="22"/>
        </w:rPr>
        <w:t>Unfortunately,</w:t>
      </w:r>
      <w:r w:rsidR="00085E02">
        <w:rPr>
          <w:sz w:val="22"/>
        </w:rPr>
        <w:t xml:space="preserve"> in this present case, the web of intrigue transcends several </w:t>
      </w:r>
      <w:r>
        <w:rPr>
          <w:sz w:val="22"/>
        </w:rPr>
        <w:t>Constabularies</w:t>
      </w:r>
      <w:r w:rsidR="00085E02">
        <w:rPr>
          <w:sz w:val="22"/>
        </w:rPr>
        <w:t xml:space="preserve"> and other Statutory </w:t>
      </w:r>
      <w:r>
        <w:rPr>
          <w:sz w:val="22"/>
        </w:rPr>
        <w:t>organisations</w:t>
      </w:r>
      <w:r w:rsidR="00085E02">
        <w:rPr>
          <w:sz w:val="22"/>
        </w:rPr>
        <w:t xml:space="preserve"> to even include the CAA &amp; CPS, making their involvement in any investigation a matter for serious caution (not unlike the </w:t>
      </w:r>
      <w:r>
        <w:rPr>
          <w:sz w:val="22"/>
        </w:rPr>
        <w:t>warnings</w:t>
      </w:r>
      <w:r w:rsidR="00085E02">
        <w:rPr>
          <w:sz w:val="22"/>
        </w:rPr>
        <w:t xml:space="preserve"> within CAP612) as the issue of conflict of interest arises which could attract the wrong sort of perceptions per Chief Justice Hewart’s paradigm guiding your conduct.</w:t>
      </w:r>
    </w:p>
    <w:p w:rsidR="00085E02" w:rsidRDefault="00085E02">
      <w:pPr>
        <w:widowControl/>
        <w:rPr>
          <w:sz w:val="22"/>
        </w:rPr>
      </w:pPr>
    </w:p>
    <w:p w:rsidR="00085E02" w:rsidRDefault="00085E02">
      <w:pPr>
        <w:widowControl/>
        <w:rPr>
          <w:sz w:val="22"/>
        </w:rPr>
      </w:pPr>
      <w:r>
        <w:rPr>
          <w:sz w:val="22"/>
        </w:rPr>
        <w:t>I have no doubt missed out many issues, this was written largely from memory, thus constittutes an opening gambit, further clarificati</w:t>
      </w:r>
      <w:r w:rsidR="00732A87">
        <w:rPr>
          <w:sz w:val="22"/>
        </w:rPr>
        <w:t>on or consultation is welcomed.</w:t>
      </w:r>
    </w:p>
    <w:p w:rsidR="00085E02" w:rsidRDefault="00085E02">
      <w:pPr>
        <w:widowControl/>
        <w:rPr>
          <w:sz w:val="22"/>
        </w:rPr>
      </w:pPr>
    </w:p>
    <w:p w:rsidR="00085E02" w:rsidRDefault="00085E02">
      <w:pPr>
        <w:widowControl/>
        <w:rPr>
          <w:b/>
        </w:rPr>
      </w:pPr>
      <w:r>
        <w:rPr>
          <w:b/>
        </w:rPr>
        <w:t>Note of relevance</w:t>
      </w:r>
    </w:p>
    <w:p w:rsidR="00085E02" w:rsidRDefault="00085E02">
      <w:pPr>
        <w:widowControl/>
        <w:rPr>
          <w:sz w:val="22"/>
        </w:rPr>
      </w:pPr>
    </w:p>
    <w:p w:rsidR="00085E02" w:rsidRDefault="00085E02">
      <w:pPr>
        <w:widowControl/>
        <w:rPr>
          <w:sz w:val="22"/>
        </w:rPr>
      </w:pPr>
      <w:r>
        <w:rPr>
          <w:sz w:val="22"/>
        </w:rPr>
        <w:t xml:space="preserve">The helicopter in question G-SAEW subsequently crashed into a family house some months later.  The cause was due to fraudulent </w:t>
      </w:r>
      <w:r w:rsidR="00CE5023">
        <w:rPr>
          <w:sz w:val="22"/>
        </w:rPr>
        <w:t>maintenance</w:t>
      </w:r>
      <w:r>
        <w:rPr>
          <w:sz w:val="22"/>
        </w:rPr>
        <w:t xml:space="preserve"> procedures. Some 6 (or7) people were very nearly killed, it being a miracle that all survived, though the occupants did suffer life-changing injuries leading to some never working again. The ensuing prosecution was obviated just as most are against Police or their close associates.</w:t>
      </w:r>
    </w:p>
    <w:p w:rsidR="00085E02" w:rsidRDefault="00085E02">
      <w:pPr>
        <w:widowControl/>
        <w:rPr>
          <w:sz w:val="22"/>
        </w:rPr>
      </w:pPr>
    </w:p>
    <w:p w:rsidR="00085E02" w:rsidRDefault="00085E02">
      <w:pPr>
        <w:widowControl/>
        <w:rPr>
          <w:sz w:val="22"/>
        </w:rPr>
      </w:pPr>
      <w:r>
        <w:rPr>
          <w:sz w:val="22"/>
        </w:rPr>
        <w:t xml:space="preserve">Clearly there is reasonable suspicion to suspect this constitutes evidence of a pattern of orchestrated misconduct which may discloses criminal conduct, in particular the “sweeping the </w:t>
      </w:r>
      <w:r w:rsidR="00CE5023">
        <w:rPr>
          <w:sz w:val="22"/>
        </w:rPr>
        <w:t>reckless</w:t>
      </w:r>
      <w:r>
        <w:rPr>
          <w:sz w:val="22"/>
        </w:rPr>
        <w:t xml:space="preserve">, negligent or deliberate misconduct </w:t>
      </w:r>
      <w:r w:rsidR="00CE5023">
        <w:rPr>
          <w:sz w:val="22"/>
        </w:rPr>
        <w:t>under</w:t>
      </w:r>
      <w:r>
        <w:rPr>
          <w:sz w:val="22"/>
        </w:rPr>
        <w:t xml:space="preserve"> the proverbial carpet, the suppression of public record, as per this instant case. Also there may be financial or regulatory anomalies regarding this matter which have not been investigated.</w:t>
      </w:r>
    </w:p>
    <w:p w:rsidR="00085E02" w:rsidRDefault="00085E02">
      <w:pPr>
        <w:widowControl/>
        <w:rPr>
          <w:sz w:val="22"/>
        </w:rPr>
      </w:pPr>
    </w:p>
    <w:p w:rsidR="00085E02" w:rsidRDefault="00085E02">
      <w:pPr>
        <w:widowControl/>
        <w:rPr>
          <w:sz w:val="22"/>
        </w:rPr>
      </w:pPr>
      <w:r>
        <w:rPr>
          <w:sz w:val="22"/>
        </w:rPr>
        <w:t xml:space="preserve">Further that the company </w:t>
      </w:r>
      <w:r w:rsidR="004324A1">
        <w:rPr>
          <w:sz w:val="22"/>
        </w:rPr>
        <w:t>providing</w:t>
      </w:r>
      <w:r>
        <w:rPr>
          <w:sz w:val="22"/>
        </w:rPr>
        <w:t xml:space="preserve"> a single service (police aviation) with originally, as I understand it,just that one helicopter was subsequently sold for the requisite profits expected for a company with potential police immunity.</w:t>
      </w:r>
    </w:p>
    <w:p w:rsidR="00085E02" w:rsidRDefault="00085E02">
      <w:pPr>
        <w:widowControl/>
        <w:rPr>
          <w:sz w:val="22"/>
        </w:rPr>
      </w:pPr>
    </w:p>
    <w:p w:rsidR="00085E02" w:rsidRDefault="00085E02">
      <w:pPr>
        <w:widowControl/>
        <w:rPr>
          <w:sz w:val="22"/>
        </w:rPr>
      </w:pPr>
    </w:p>
    <w:p w:rsidR="00085E02" w:rsidRDefault="00085E02">
      <w:pPr>
        <w:widowControl/>
        <w:rPr>
          <w:sz w:val="22"/>
        </w:rPr>
      </w:pPr>
    </w:p>
    <w:p w:rsidR="00085E02" w:rsidRDefault="00085E02">
      <w:pPr>
        <w:widowControl/>
        <w:rPr>
          <w:sz w:val="22"/>
        </w:rPr>
      </w:pPr>
    </w:p>
    <w:p w:rsidR="00085E02" w:rsidRDefault="00085E02">
      <w:pPr>
        <w:widowControl/>
        <w:rPr>
          <w:sz w:val="22"/>
        </w:rPr>
      </w:pPr>
    </w:p>
    <w:sectPr w:rsidR="00085E02">
      <w:type w:val="continuous"/>
      <w:pgSz w:w="11905" w:h="16837"/>
      <w:pgMar w:top="1190" w:right="1133" w:bottom="1440" w:left="1440" w:header="720" w:footer="720" w:gutter="0"/>
      <w:cols w:space="36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3E8"/>
    <w:multiLevelType w:val="singleLevel"/>
    <w:tmpl w:val="0000075D"/>
    <w:lvl w:ilvl="0">
      <w:numFmt w:val="bullet"/>
      <w:lvlText w:val="·"/>
      <w:lvlJc w:val="left"/>
      <w:pPr>
        <w:ind w:left="720" w:hanging="431"/>
      </w:pPr>
      <w:rPr>
        <w:rFonts w:ascii="Symbol" w:hAnsi="Symbol"/>
      </w:rPr>
    </w:lvl>
  </w:abstractNum>
  <w:abstractNum w:abstractNumId="1" w15:restartNumberingAfterBreak="0">
    <w:nsid w:val="0000040A"/>
    <w:multiLevelType w:val="singleLevel"/>
    <w:tmpl w:val="0000075E"/>
    <w:lvl w:ilvl="0">
      <w:numFmt w:val="bullet"/>
      <w:lvlText w:val="·"/>
      <w:lvlJc w:val="left"/>
      <w:pPr>
        <w:ind w:left="720" w:hanging="431"/>
      </w:pPr>
      <w:rPr>
        <w:rFonts w:ascii="Symbol" w:hAnsi="Symbol"/>
      </w:rPr>
    </w:lvl>
  </w:abstractNum>
  <w:abstractNum w:abstractNumId="2" w15:restartNumberingAfterBreak="0">
    <w:nsid w:val="0000040F"/>
    <w:multiLevelType w:val="singleLevel"/>
    <w:tmpl w:val="0000075F"/>
    <w:lvl w:ilvl="0">
      <w:numFmt w:val="bullet"/>
      <w:lvlText w:val="·"/>
      <w:lvlJc w:val="left"/>
      <w:pPr>
        <w:ind w:left="720" w:hanging="431"/>
      </w:pPr>
      <w:rPr>
        <w:rFonts w:ascii="Symbol" w:hAnsi="Symbol"/>
      </w:rPr>
    </w:lvl>
  </w:abstractNum>
  <w:abstractNum w:abstractNumId="3" w15:restartNumberingAfterBreak="0">
    <w:nsid w:val="00000437"/>
    <w:multiLevelType w:val="singleLevel"/>
    <w:tmpl w:val="00000760"/>
    <w:lvl w:ilvl="0">
      <w:numFmt w:val="bullet"/>
      <w:lvlText w:val="·"/>
      <w:lvlJc w:val="left"/>
      <w:pPr>
        <w:ind w:left="720" w:hanging="431"/>
      </w:pPr>
      <w:rPr>
        <w:rFonts w:ascii="Symbol" w:hAnsi="Symbol"/>
      </w:rPr>
    </w:lvl>
  </w:abstractNum>
  <w:abstractNum w:abstractNumId="4" w15:restartNumberingAfterBreak="0">
    <w:nsid w:val="0000046C"/>
    <w:multiLevelType w:val="singleLevel"/>
    <w:tmpl w:val="00000761"/>
    <w:lvl w:ilvl="0">
      <w:numFmt w:val="bullet"/>
      <w:lvlText w:val="·"/>
      <w:lvlJc w:val="left"/>
      <w:pPr>
        <w:ind w:left="720" w:hanging="431"/>
      </w:pPr>
      <w:rPr>
        <w:rFonts w:ascii="Symbol" w:hAnsi="Symbol"/>
      </w:rPr>
    </w:lvl>
  </w:abstractNum>
  <w:abstractNum w:abstractNumId="5" w15:restartNumberingAfterBreak="0">
    <w:nsid w:val="00000713"/>
    <w:multiLevelType w:val="singleLevel"/>
    <w:tmpl w:val="00000762"/>
    <w:lvl w:ilvl="0">
      <w:numFmt w:val="bullet"/>
      <w:lvlText w:val="·"/>
      <w:lvlJc w:val="left"/>
      <w:pPr>
        <w:ind w:left="720" w:hanging="431"/>
      </w:pPr>
      <w:rPr>
        <w:rFonts w:ascii="Symbol" w:hAnsi="Symbol"/>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savePreviewPicture/>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60E8"/>
    <w:rsid w:val="00085E02"/>
    <w:rsid w:val="001B408D"/>
    <w:rsid w:val="002801B8"/>
    <w:rsid w:val="0030740E"/>
    <w:rsid w:val="004324A1"/>
    <w:rsid w:val="005F2BAF"/>
    <w:rsid w:val="00681DFC"/>
    <w:rsid w:val="00732A87"/>
    <w:rsid w:val="007D60E8"/>
    <w:rsid w:val="00CE5023"/>
    <w:rsid w:val="00D31F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63F9CC0C-9ACA-4BD8-9D57-2B11490A5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GB" w:eastAsia="en-GB" w:bidi="ar-SA"/>
      </w:rPr>
    </w:rPrDefault>
    <w:pPrDefault>
      <w:pPr>
        <w:spacing w:after="160" w:line="259" w:lineRule="auto"/>
      </w:pPr>
    </w:pPrDefault>
  </w:docDefaults>
  <w:latentStyles w:defLockedState="0" w:defUIPriority="99" w:defSemiHidden="0" w:defUnhideWhenUsed="0" w:defQFormat="0" w:count="372">
    <w:lsdException w:name="Normal" w:qFormat="1"/>
    <w:lsdException w:name="heading 1" w:qFormat="1"/>
    <w:lsdException w:name="heading 2" w:qFormat="1"/>
    <w:lsdException w:name="heading 3"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pPr>
      <w:widowControl w:val="0"/>
      <w:autoSpaceDE w:val="0"/>
      <w:autoSpaceDN w:val="0"/>
      <w:adjustRightInd w:val="0"/>
      <w:spacing w:after="0" w:line="240" w:lineRule="auto"/>
    </w:pPr>
    <w:rPr>
      <w:rFonts w:ascii="Times New Roman" w:hAnsi="Times New Roman"/>
      <w:sz w:val="24"/>
      <w:szCs w:val="24"/>
    </w:rPr>
  </w:style>
  <w:style w:type="paragraph" w:styleId="Heading1">
    <w:name w:val="heading 1"/>
    <w:basedOn w:val="Normal"/>
    <w:next w:val="Normal"/>
    <w:link w:val="Heading1Char"/>
    <w:uiPriority w:val="99"/>
    <w:qFormat/>
    <w:pPr>
      <w:spacing w:before="440" w:after="60"/>
      <w:outlineLvl w:val="0"/>
    </w:pPr>
    <w:rPr>
      <w:rFonts w:ascii="Arial" w:hAnsi="Arial" w:cs="Arial"/>
      <w:b/>
      <w:bCs/>
      <w:sz w:val="34"/>
      <w:szCs w:val="34"/>
    </w:rPr>
  </w:style>
  <w:style w:type="paragraph" w:styleId="Heading2">
    <w:name w:val="heading 2"/>
    <w:basedOn w:val="Normal"/>
    <w:next w:val="Normal"/>
    <w:link w:val="Heading2Char"/>
    <w:uiPriority w:val="99"/>
    <w:qFormat/>
    <w:pPr>
      <w:spacing w:before="440" w:after="60"/>
      <w:outlineLvl w:val="1"/>
    </w:pPr>
    <w:rPr>
      <w:rFonts w:ascii="Arial" w:hAnsi="Arial" w:cs="Arial"/>
      <w:b/>
      <w:bCs/>
      <w:sz w:val="28"/>
      <w:szCs w:val="28"/>
    </w:rPr>
  </w:style>
  <w:style w:type="paragraph" w:styleId="Heading3">
    <w:name w:val="heading 3"/>
    <w:basedOn w:val="Normal"/>
    <w:next w:val="Normal"/>
    <w:link w:val="Heading3Char"/>
    <w:uiPriority w:val="99"/>
    <w:qFormat/>
    <w:pPr>
      <w:spacing w:before="440" w:after="60"/>
      <w:outlineLvl w:val="2"/>
    </w:pPr>
    <w:rPr>
      <w:rFonts w:ascii="Arial" w:hAnsi="Arial" w:cs="Arial"/>
      <w:b/>
      <w:bCs/>
    </w:rPr>
  </w:style>
  <w:style w:type="paragraph" w:styleId="Heading4">
    <w:name w:val="heading 4"/>
    <w:basedOn w:val="Normal"/>
    <w:next w:val="Normal"/>
    <w:link w:val="Heading4Char"/>
    <w:uiPriority w:val="99"/>
    <w:qFormat/>
    <w:pPr>
      <w:spacing w:before="440" w:after="60"/>
      <w:outlineLvl w:val="3"/>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character" w:customStyle="1" w:styleId="Heading3Char">
    <w:name w:val="Heading 3 Char"/>
    <w:basedOn w:val="DefaultParagraphFont"/>
    <w:link w:val="Heading3"/>
    <w:uiPriority w:val="9"/>
    <w:semiHidden/>
    <w:locked/>
    <w:rPr>
      <w:rFonts w:asciiTheme="majorHAnsi" w:eastAsiaTheme="majorEastAsia" w:hAnsiTheme="majorHAnsi" w:cs="Times New Roman"/>
      <w:b/>
      <w:bCs/>
      <w:sz w:val="26"/>
      <w:szCs w:val="26"/>
    </w:rPr>
  </w:style>
  <w:style w:type="character" w:customStyle="1" w:styleId="Heading4Char">
    <w:name w:val="Heading 4 Char"/>
    <w:basedOn w:val="DefaultParagraphFont"/>
    <w:link w:val="Heading4"/>
    <w:uiPriority w:val="9"/>
    <w:semiHidden/>
    <w:locked/>
    <w:rPr>
      <w:rFonts w:cs="Times New Roman"/>
      <w:b/>
      <w:bCs/>
      <w:sz w:val="28"/>
      <w:szCs w:val="28"/>
    </w:rPr>
  </w:style>
  <w:style w:type="paragraph" w:customStyle="1" w:styleId="Contents1">
    <w:name w:val="Contents 1"/>
    <w:basedOn w:val="Normal"/>
    <w:next w:val="Normal"/>
    <w:pPr>
      <w:ind w:left="720" w:hanging="431"/>
    </w:pPr>
  </w:style>
  <w:style w:type="paragraph" w:customStyle="1" w:styleId="Contents2">
    <w:name w:val="Contents 2"/>
    <w:basedOn w:val="Normal"/>
    <w:next w:val="Normal"/>
    <w:uiPriority w:val="99"/>
    <w:pPr>
      <w:ind w:left="1440" w:hanging="431"/>
    </w:pPr>
  </w:style>
  <w:style w:type="paragraph" w:customStyle="1" w:styleId="Contents3">
    <w:name w:val="Contents 3"/>
    <w:basedOn w:val="Normal"/>
    <w:next w:val="Normal"/>
    <w:uiPriority w:val="99"/>
    <w:pPr>
      <w:ind w:left="2160" w:hanging="431"/>
    </w:pPr>
  </w:style>
  <w:style w:type="paragraph" w:customStyle="1" w:styleId="LowerRomanList">
    <w:name w:val="Lower Roman List"/>
    <w:basedOn w:val="Normal"/>
    <w:uiPriority w:val="99"/>
    <w:pPr>
      <w:ind w:left="720" w:hanging="431"/>
    </w:pPr>
  </w:style>
  <w:style w:type="paragraph" w:customStyle="1" w:styleId="NumberedHeading1">
    <w:name w:val="Numbered Heading 1"/>
    <w:basedOn w:val="Heading1"/>
    <w:next w:val="Normal"/>
    <w:uiPriority w:val="99"/>
    <w:pPr>
      <w:tabs>
        <w:tab w:val="left" w:pos="431"/>
      </w:tabs>
      <w:spacing w:before="0" w:after="0"/>
      <w:outlineLvl w:val="9"/>
    </w:pPr>
    <w:rPr>
      <w:rFonts w:ascii="Times New Roman" w:hAnsi="Times New Roman" w:cs="Times New Roman"/>
      <w:b w:val="0"/>
      <w:bCs w:val="0"/>
      <w:sz w:val="24"/>
      <w:szCs w:val="24"/>
    </w:rPr>
  </w:style>
  <w:style w:type="paragraph" w:customStyle="1" w:styleId="NumberedHeading2">
    <w:name w:val="Numbered Heading 2"/>
    <w:basedOn w:val="Heading2"/>
    <w:next w:val="Normal"/>
    <w:uiPriority w:val="99"/>
    <w:pPr>
      <w:tabs>
        <w:tab w:val="left" w:pos="431"/>
      </w:tabs>
      <w:spacing w:before="0" w:after="0"/>
      <w:outlineLvl w:val="9"/>
    </w:pPr>
    <w:rPr>
      <w:rFonts w:ascii="Times New Roman" w:hAnsi="Times New Roman" w:cs="Times New Roman"/>
      <w:b w:val="0"/>
      <w:bCs w:val="0"/>
      <w:sz w:val="24"/>
      <w:szCs w:val="24"/>
    </w:rPr>
  </w:style>
  <w:style w:type="paragraph" w:customStyle="1" w:styleId="SquareList">
    <w:name w:val="Square List"/>
    <w:uiPriority w:val="99"/>
    <w:pPr>
      <w:widowControl w:val="0"/>
      <w:autoSpaceDE w:val="0"/>
      <w:autoSpaceDN w:val="0"/>
      <w:adjustRightInd w:val="0"/>
      <w:spacing w:after="0" w:line="240" w:lineRule="auto"/>
      <w:ind w:left="720" w:hanging="431"/>
    </w:pPr>
    <w:rPr>
      <w:rFonts w:ascii="Times New Roman" w:hAnsi="Times New Roman"/>
      <w:sz w:val="24"/>
      <w:szCs w:val="24"/>
    </w:rPr>
  </w:style>
  <w:style w:type="paragraph" w:styleId="EndnoteText">
    <w:name w:val="endnote text"/>
    <w:basedOn w:val="Normal"/>
    <w:link w:val="EndnoteTextChar"/>
    <w:uiPriority w:val="99"/>
    <w:semiHidden/>
    <w:unhideWhenUsed/>
    <w:pPr>
      <w:widowControl/>
      <w:autoSpaceDE/>
      <w:autoSpaceDN/>
      <w:adjustRightInd/>
      <w:spacing w:after="160" w:line="259" w:lineRule="auto"/>
    </w:pPr>
    <w:rPr>
      <w:rFonts w:asciiTheme="minorHAnsi" w:hAnsiTheme="minorHAnsi"/>
      <w:sz w:val="20"/>
      <w:szCs w:val="20"/>
    </w:rPr>
  </w:style>
  <w:style w:type="character" w:customStyle="1" w:styleId="EndnoteTextChar">
    <w:name w:val="Endnote Text Char"/>
    <w:basedOn w:val="DefaultParagraphFont"/>
    <w:link w:val="EndnoteText"/>
    <w:uiPriority w:val="99"/>
    <w:semiHidden/>
    <w:locked/>
    <w:rPr>
      <w:rFonts w:cs="Times New Roman"/>
      <w:sz w:val="20"/>
      <w:szCs w:val="20"/>
    </w:rPr>
  </w:style>
  <w:style w:type="paragraph" w:customStyle="1" w:styleId="Contents4">
    <w:name w:val="Contents 4"/>
    <w:basedOn w:val="Normal"/>
    <w:next w:val="Normal"/>
    <w:uiPriority w:val="99"/>
    <w:pPr>
      <w:ind w:left="2880" w:hanging="431"/>
    </w:pPr>
  </w:style>
  <w:style w:type="paragraph" w:customStyle="1" w:styleId="DiamondList">
    <w:name w:val="Diamond List"/>
    <w:uiPriority w:val="99"/>
    <w:pPr>
      <w:widowControl w:val="0"/>
      <w:autoSpaceDE w:val="0"/>
      <w:autoSpaceDN w:val="0"/>
      <w:adjustRightInd w:val="0"/>
      <w:spacing w:after="0" w:line="240" w:lineRule="auto"/>
      <w:ind w:left="720" w:hanging="431"/>
    </w:pPr>
    <w:rPr>
      <w:rFonts w:ascii="Times New Roman" w:hAnsi="Times New Roman"/>
      <w:sz w:val="24"/>
      <w:szCs w:val="24"/>
    </w:rPr>
  </w:style>
  <w:style w:type="paragraph" w:customStyle="1" w:styleId="NumberedList">
    <w:name w:val="Numbered List"/>
    <w:uiPriority w:val="99"/>
    <w:pPr>
      <w:widowControl w:val="0"/>
      <w:autoSpaceDE w:val="0"/>
      <w:autoSpaceDN w:val="0"/>
      <w:adjustRightInd w:val="0"/>
      <w:spacing w:after="0" w:line="240" w:lineRule="auto"/>
      <w:ind w:left="720" w:hanging="431"/>
    </w:pPr>
    <w:rPr>
      <w:rFonts w:ascii="Times New Roman" w:hAnsi="Times New Roman"/>
      <w:sz w:val="24"/>
      <w:szCs w:val="24"/>
    </w:rPr>
  </w:style>
  <w:style w:type="character" w:customStyle="1" w:styleId="Reference">
    <w:name w:val="Reference"/>
    <w:uiPriority w:val="99"/>
    <w:rPr>
      <w:sz w:val="20"/>
    </w:rPr>
  </w:style>
  <w:style w:type="paragraph" w:customStyle="1" w:styleId="TriangleList">
    <w:name w:val="Triangle List"/>
    <w:uiPriority w:val="99"/>
    <w:pPr>
      <w:widowControl w:val="0"/>
      <w:autoSpaceDE w:val="0"/>
      <w:autoSpaceDN w:val="0"/>
      <w:adjustRightInd w:val="0"/>
      <w:spacing w:after="0" w:line="240" w:lineRule="auto"/>
      <w:ind w:left="720" w:hanging="431"/>
    </w:pPr>
    <w:rPr>
      <w:rFonts w:ascii="Times New Roman" w:hAnsi="Times New Roman"/>
      <w:sz w:val="24"/>
      <w:szCs w:val="24"/>
    </w:rPr>
  </w:style>
  <w:style w:type="paragraph" w:customStyle="1" w:styleId="NumberedHeading3">
    <w:name w:val="Numbered Heading 3"/>
    <w:basedOn w:val="Heading3"/>
    <w:next w:val="Normal"/>
    <w:uiPriority w:val="99"/>
    <w:pPr>
      <w:tabs>
        <w:tab w:val="left" w:pos="431"/>
      </w:tabs>
      <w:spacing w:before="0" w:after="0"/>
      <w:outlineLvl w:val="9"/>
    </w:pPr>
    <w:rPr>
      <w:rFonts w:ascii="Times New Roman" w:hAnsi="Times New Roman" w:cs="Times New Roman"/>
      <w:b w:val="0"/>
      <w:bCs w:val="0"/>
    </w:rPr>
  </w:style>
  <w:style w:type="paragraph" w:customStyle="1" w:styleId="DashedList">
    <w:name w:val="Dashed List"/>
    <w:uiPriority w:val="99"/>
    <w:pPr>
      <w:widowControl w:val="0"/>
      <w:autoSpaceDE w:val="0"/>
      <w:autoSpaceDN w:val="0"/>
      <w:adjustRightInd w:val="0"/>
      <w:spacing w:after="0" w:line="240" w:lineRule="auto"/>
      <w:ind w:left="720" w:hanging="431"/>
    </w:pPr>
    <w:rPr>
      <w:rFonts w:ascii="Times New Roman" w:hAnsi="Times New Roman"/>
      <w:sz w:val="24"/>
      <w:szCs w:val="24"/>
    </w:rPr>
  </w:style>
  <w:style w:type="paragraph" w:customStyle="1" w:styleId="UpperRomanList">
    <w:name w:val="Upper Roman List"/>
    <w:basedOn w:val="NumberedList"/>
    <w:uiPriority w:val="99"/>
  </w:style>
  <w:style w:type="paragraph" w:customStyle="1" w:styleId="HeartList">
    <w:name w:val="Heart List"/>
    <w:uiPriority w:val="99"/>
    <w:pPr>
      <w:widowControl w:val="0"/>
      <w:autoSpaceDE w:val="0"/>
      <w:autoSpaceDN w:val="0"/>
      <w:adjustRightInd w:val="0"/>
      <w:spacing w:after="0" w:line="240" w:lineRule="auto"/>
      <w:ind w:left="720" w:hanging="431"/>
    </w:pPr>
    <w:rPr>
      <w:rFonts w:ascii="Times New Roman" w:hAnsi="Times New Roman"/>
      <w:sz w:val="24"/>
      <w:szCs w:val="24"/>
    </w:rPr>
  </w:style>
  <w:style w:type="paragraph" w:customStyle="1" w:styleId="BoxList">
    <w:name w:val="Box List"/>
    <w:uiPriority w:val="99"/>
    <w:pPr>
      <w:widowControl w:val="0"/>
      <w:autoSpaceDE w:val="0"/>
      <w:autoSpaceDN w:val="0"/>
      <w:adjustRightInd w:val="0"/>
      <w:spacing w:after="0" w:line="240" w:lineRule="auto"/>
      <w:ind w:left="720" w:hanging="431"/>
    </w:pPr>
    <w:rPr>
      <w:rFonts w:ascii="Times New Roman" w:hAnsi="Times New Roman"/>
      <w:sz w:val="24"/>
      <w:szCs w:val="24"/>
    </w:rPr>
  </w:style>
  <w:style w:type="character" w:customStyle="1" w:styleId="Reference2">
    <w:name w:val="Reference2"/>
    <w:uiPriority w:val="99"/>
    <w:rPr>
      <w:sz w:val="20"/>
    </w:rPr>
  </w:style>
  <w:style w:type="paragraph" w:customStyle="1" w:styleId="UpperCaseList">
    <w:name w:val="Upper Case List"/>
    <w:basedOn w:val="NumberedList"/>
    <w:uiPriority w:val="99"/>
  </w:style>
  <w:style w:type="paragraph" w:customStyle="1" w:styleId="BulletList">
    <w:name w:val="Bullet List"/>
    <w:uiPriority w:val="99"/>
    <w:pPr>
      <w:widowControl w:val="0"/>
      <w:autoSpaceDE w:val="0"/>
      <w:autoSpaceDN w:val="0"/>
      <w:adjustRightInd w:val="0"/>
      <w:spacing w:after="0" w:line="240" w:lineRule="auto"/>
      <w:ind w:left="720" w:hanging="431"/>
    </w:pPr>
    <w:rPr>
      <w:rFonts w:ascii="Times New Roman" w:hAnsi="Times New Roman"/>
      <w:sz w:val="24"/>
      <w:szCs w:val="24"/>
    </w:rPr>
  </w:style>
  <w:style w:type="paragraph" w:customStyle="1" w:styleId="HandList">
    <w:name w:val="Hand List"/>
    <w:uiPriority w:val="99"/>
    <w:pPr>
      <w:widowControl w:val="0"/>
      <w:autoSpaceDE w:val="0"/>
      <w:autoSpaceDN w:val="0"/>
      <w:adjustRightInd w:val="0"/>
      <w:spacing w:after="0" w:line="240" w:lineRule="auto"/>
      <w:ind w:left="720" w:hanging="431"/>
    </w:pPr>
    <w:rPr>
      <w:rFonts w:ascii="Times New Roman" w:hAnsi="Times New Roman"/>
      <w:sz w:val="24"/>
      <w:szCs w:val="24"/>
    </w:rPr>
  </w:style>
  <w:style w:type="paragraph" w:styleId="FootnoteText">
    <w:name w:val="footnote text"/>
    <w:basedOn w:val="Normal"/>
    <w:link w:val="FootnoteTextChar"/>
    <w:uiPriority w:val="99"/>
    <w:semiHidden/>
    <w:unhideWhenUsed/>
    <w:pPr>
      <w:widowControl/>
      <w:autoSpaceDE/>
      <w:autoSpaceDN/>
      <w:adjustRightInd/>
      <w:spacing w:after="160" w:line="259" w:lineRule="auto"/>
    </w:pPr>
    <w:rPr>
      <w:rFonts w:asciiTheme="minorHAnsi" w:hAnsiTheme="minorHAnsi"/>
      <w:sz w:val="20"/>
      <w:szCs w:val="20"/>
    </w:rPr>
  </w:style>
  <w:style w:type="character" w:customStyle="1" w:styleId="FootnoteTextChar">
    <w:name w:val="Footnote Text Char"/>
    <w:basedOn w:val="DefaultParagraphFont"/>
    <w:link w:val="FootnoteText"/>
    <w:uiPriority w:val="99"/>
    <w:semiHidden/>
    <w:locked/>
    <w:rPr>
      <w:rFonts w:cs="Times New Roman"/>
      <w:sz w:val="20"/>
      <w:szCs w:val="20"/>
    </w:rPr>
  </w:style>
  <w:style w:type="paragraph" w:customStyle="1" w:styleId="ContentsHeader">
    <w:name w:val="Contents Header"/>
    <w:basedOn w:val="Normal"/>
    <w:next w:val="Normal"/>
    <w:uiPriority w:val="99"/>
    <w:pPr>
      <w:spacing w:before="240" w:after="120"/>
      <w:jc w:val="center"/>
    </w:pPr>
    <w:rPr>
      <w:rFonts w:ascii="Arial" w:hAnsi="Arial" w:cs="Arial"/>
      <w:b/>
      <w:bCs/>
      <w:sz w:val="32"/>
      <w:szCs w:val="32"/>
    </w:rPr>
  </w:style>
  <w:style w:type="paragraph" w:customStyle="1" w:styleId="TickList">
    <w:name w:val="Tick List"/>
    <w:uiPriority w:val="99"/>
    <w:pPr>
      <w:widowControl w:val="0"/>
      <w:autoSpaceDE w:val="0"/>
      <w:autoSpaceDN w:val="0"/>
      <w:adjustRightInd w:val="0"/>
      <w:spacing w:after="0" w:line="240" w:lineRule="auto"/>
      <w:ind w:left="720" w:hanging="431"/>
    </w:pPr>
    <w:rPr>
      <w:rFonts w:ascii="Times New Roman" w:hAnsi="Times New Roman"/>
      <w:sz w:val="24"/>
      <w:szCs w:val="24"/>
    </w:rPr>
  </w:style>
  <w:style w:type="paragraph" w:customStyle="1" w:styleId="LowerCaseList">
    <w:name w:val="Lower Case List"/>
    <w:basedOn w:val="NumberedList"/>
    <w:uiPriority w:val="99"/>
  </w:style>
  <w:style w:type="paragraph" w:styleId="BlockText">
    <w:name w:val="Block Text"/>
    <w:basedOn w:val="Normal"/>
    <w:uiPriority w:val="99"/>
    <w:pPr>
      <w:spacing w:after="120"/>
      <w:ind w:left="1440" w:right="1440"/>
    </w:pPr>
  </w:style>
  <w:style w:type="paragraph" w:styleId="PlainText">
    <w:name w:val="Plain Text"/>
    <w:basedOn w:val="Normal"/>
    <w:link w:val="PlainTextChar"/>
    <w:uiPriority w:val="99"/>
    <w:rPr>
      <w:rFonts w:ascii="Courier New" w:hAnsi="Courier New" w:cs="Courier New"/>
    </w:rPr>
  </w:style>
  <w:style w:type="character" w:customStyle="1" w:styleId="PlainTextChar">
    <w:name w:val="Plain Text Char"/>
    <w:basedOn w:val="DefaultParagraphFont"/>
    <w:link w:val="PlainText"/>
    <w:uiPriority w:val="99"/>
    <w:semiHidden/>
    <w:locked/>
    <w:rPr>
      <w:rFonts w:ascii="Courier New" w:hAnsi="Courier New" w:cs="Courier New"/>
      <w:sz w:val="20"/>
      <w:szCs w:val="20"/>
    </w:rPr>
  </w:style>
  <w:style w:type="paragraph" w:customStyle="1" w:styleId="SectionHeading">
    <w:name w:val="Section Heading"/>
    <w:basedOn w:val="NumberedHeading1"/>
    <w:next w:val="Normal"/>
    <w:uiPriority w:val="99"/>
    <w:pPr>
      <w:tabs>
        <w:tab w:val="clear" w:pos="431"/>
        <w:tab w:val="left" w:pos="1584"/>
      </w:tabs>
    </w:pPr>
  </w:style>
  <w:style w:type="paragraph" w:customStyle="1" w:styleId="ImpliesList">
    <w:name w:val="Implies List"/>
    <w:uiPriority w:val="99"/>
    <w:pPr>
      <w:widowControl w:val="0"/>
      <w:autoSpaceDE w:val="0"/>
      <w:autoSpaceDN w:val="0"/>
      <w:adjustRightInd w:val="0"/>
      <w:spacing w:after="0" w:line="240" w:lineRule="auto"/>
      <w:ind w:left="720" w:hanging="431"/>
    </w:pPr>
    <w:rPr>
      <w:rFonts w:ascii="Times New Roman" w:hAnsi="Times New Roman"/>
      <w:sz w:val="24"/>
      <w:szCs w:val="24"/>
    </w:rPr>
  </w:style>
  <w:style w:type="paragraph" w:customStyle="1" w:styleId="StarList">
    <w:name w:val="Star List"/>
    <w:uiPriority w:val="99"/>
    <w:pPr>
      <w:widowControl w:val="0"/>
      <w:autoSpaceDE w:val="0"/>
      <w:autoSpaceDN w:val="0"/>
      <w:adjustRightInd w:val="0"/>
      <w:spacing w:after="0" w:line="240" w:lineRule="auto"/>
      <w:ind w:left="720" w:hanging="431"/>
    </w:pPr>
    <w:rPr>
      <w:rFonts w:ascii="Times New Roman" w:hAnsi="Times New Roman"/>
      <w:sz w:val="24"/>
      <w:szCs w:val="24"/>
    </w:rPr>
  </w:style>
  <w:style w:type="character" w:customStyle="1" w:styleId="Reference1">
    <w:name w:val="Reference1"/>
    <w:uiPriority w:val="99"/>
    <w:rPr>
      <w:sz w:val="20"/>
    </w:rPr>
  </w:style>
  <w:style w:type="paragraph" w:customStyle="1" w:styleId="ChapterHeading">
    <w:name w:val="Chapter Heading"/>
    <w:basedOn w:val="NumberedHeading1"/>
    <w:next w:val="Normal"/>
    <w:uiPriority w:val="99"/>
    <w:pPr>
      <w:tabs>
        <w:tab w:val="clear" w:pos="431"/>
        <w:tab w:val="left" w:pos="1584"/>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3050</Words>
  <Characters>16164</Characters>
  <Application>Microsoft Office Word</Application>
  <DocSecurity>0</DocSecurity>
  <Lines>134</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Maurice Kirk</dc:creator>
  <cp:keywords/>
  <dc:description/>
  <cp:lastModifiedBy>Maurice Kirk</cp:lastModifiedBy>
  <cp:revision>2</cp:revision>
  <dcterms:created xsi:type="dcterms:W3CDTF">2016-06-07T07:14:00Z</dcterms:created>
  <dcterms:modified xsi:type="dcterms:W3CDTF">2016-06-07T07:14:00Z</dcterms:modified>
</cp:coreProperties>
</file>